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37F16" w14:textId="5C29F929" w:rsidR="00DE60F9" w:rsidRPr="001A6FC1" w:rsidRDefault="00DE60F9" w:rsidP="00D361C9">
      <w:pPr>
        <w:pStyle w:val="a0"/>
      </w:pPr>
      <w:r w:rsidRPr="001A6FC1">
        <w:rPr>
          <w:rFonts w:hint="eastAsia"/>
        </w:rPr>
        <w:t>中医药“冷门绝学”继承型人才学术能力提升培训班学员管理办法</w:t>
      </w:r>
    </w:p>
    <w:p w14:paraId="254F368D" w14:textId="77777777" w:rsidR="00DE60F9" w:rsidRDefault="00DE60F9" w:rsidP="001A6FC1">
      <w:pPr>
        <w:jc w:val="center"/>
        <w:rPr>
          <w:rFonts w:ascii="FangSong" w:eastAsia="FangSong" w:hAnsi="FangSong"/>
          <w:sz w:val="28"/>
          <w:szCs w:val="28"/>
        </w:rPr>
      </w:pPr>
    </w:p>
    <w:p w14:paraId="6AEC849B" w14:textId="5C938CC1" w:rsidR="00DE60F9" w:rsidRPr="001A6FC1" w:rsidRDefault="00DE60F9" w:rsidP="00D361C9">
      <w:pPr>
        <w:pStyle w:val="ab"/>
      </w:pPr>
      <w:r w:rsidRPr="001A6FC1">
        <w:rPr>
          <w:rFonts w:hint="eastAsia"/>
        </w:rPr>
        <w:t>为加强对</w:t>
      </w:r>
      <w:r w:rsidRPr="001A6FC1">
        <w:rPr>
          <w:rFonts w:hint="eastAsia"/>
        </w:rPr>
        <w:t>2021</w:t>
      </w:r>
      <w:r w:rsidRPr="001A6FC1">
        <w:rPr>
          <w:rFonts w:hint="eastAsia"/>
        </w:rPr>
        <w:t>年度中医药“冷门绝学”继承型人才学术能力提升培训班的管理，提高培训质量，确保培训收到实效，特制定本管理办法。</w:t>
      </w:r>
    </w:p>
    <w:p w14:paraId="0EA80FCB" w14:textId="76CB11CF" w:rsidR="00DE60F9" w:rsidRPr="001A6FC1" w:rsidRDefault="00DE60F9" w:rsidP="00D361C9">
      <w:pPr>
        <w:pStyle w:val="2"/>
        <w:numPr>
          <w:ilvl w:val="0"/>
          <w:numId w:val="14"/>
        </w:numPr>
        <w:spacing w:beforeLines="100" w:before="312"/>
        <w:ind w:leftChars="100" w:left="630"/>
      </w:pPr>
      <w:r w:rsidRPr="001A6FC1">
        <w:rPr>
          <w:rFonts w:hint="eastAsia"/>
        </w:rPr>
        <w:t>学习纪律</w:t>
      </w:r>
    </w:p>
    <w:p w14:paraId="60729E5C" w14:textId="0FD7227A" w:rsidR="00DE60F9" w:rsidRPr="001A6FC1" w:rsidRDefault="004823AD" w:rsidP="00D361C9">
      <w:pPr>
        <w:pStyle w:val="ab"/>
        <w:numPr>
          <w:ilvl w:val="0"/>
          <w:numId w:val="15"/>
        </w:numPr>
        <w:ind w:leftChars="100" w:left="630"/>
      </w:pPr>
      <w:r w:rsidRPr="001A6FC1">
        <w:rPr>
          <w:rFonts w:hint="eastAsia"/>
        </w:rPr>
        <w:t>线下学员需依照培训安排，提前安排好工作、生活，自培训启动之日起，参训学员须按培训计划的要求，全程参与各个环节的学习和活动。</w:t>
      </w:r>
    </w:p>
    <w:p w14:paraId="2832116E" w14:textId="585FAB81" w:rsidR="00DE60F9" w:rsidRPr="001A6FC1" w:rsidRDefault="004823AD" w:rsidP="00D361C9">
      <w:pPr>
        <w:pStyle w:val="ab"/>
        <w:numPr>
          <w:ilvl w:val="0"/>
          <w:numId w:val="15"/>
        </w:numPr>
        <w:ind w:leftChars="100" w:left="630"/>
      </w:pPr>
      <w:r w:rsidRPr="001A6FC1">
        <w:rPr>
          <w:rFonts w:hint="eastAsia"/>
        </w:rPr>
        <w:t>线上学员需在通知规定的时间内，按照要求在“成都中医药大学</w:t>
      </w:r>
      <w:r w:rsidR="00A41755">
        <w:rPr>
          <w:rFonts w:hint="eastAsia"/>
        </w:rPr>
        <w:t>网络教学平台</w:t>
      </w:r>
      <w:r w:rsidRPr="001A6FC1">
        <w:rPr>
          <w:rFonts w:hint="eastAsia"/>
        </w:rPr>
        <w:t>”注册，</w:t>
      </w:r>
      <w:r w:rsidR="00A41755">
        <w:rPr>
          <w:rFonts w:hint="eastAsia"/>
        </w:rPr>
        <w:t>（网址：</w:t>
      </w:r>
      <w:r w:rsidR="00A41755">
        <w:t xml:space="preserve"> </w:t>
      </w:r>
      <w:hyperlink r:id="rId5" w:history="1">
        <w:r w:rsidR="00A41755" w:rsidRPr="00D10EE2">
          <w:rPr>
            <w:rStyle w:val="a5"/>
            <w:rFonts w:ascii="方正仿宋简体" w:hAnsi="FangSong"/>
          </w:rPr>
          <w:t>http://cdutcm.fanya.chaoxing.com/portal</w:t>
        </w:r>
      </w:hyperlink>
      <w:r w:rsidR="00A41755">
        <w:rPr>
          <w:rFonts w:hint="eastAsia"/>
        </w:rPr>
        <w:t>）</w:t>
      </w:r>
      <w:r w:rsidR="00A41755">
        <w:t xml:space="preserve"> </w:t>
      </w:r>
      <w:r w:rsidRPr="001A6FC1">
        <w:rPr>
          <w:rFonts w:hint="eastAsia"/>
        </w:rPr>
        <w:t>登录培训平台，完善个人信息。不得将学习平台账号及密码转告他人，整个培训过程需本人完成，不得请人替代。</w:t>
      </w:r>
    </w:p>
    <w:p w14:paraId="162749E7" w14:textId="6862ED42" w:rsidR="004823AD" w:rsidRPr="001A6FC1" w:rsidRDefault="004823AD" w:rsidP="00D361C9">
      <w:pPr>
        <w:pStyle w:val="ab"/>
        <w:numPr>
          <w:ilvl w:val="0"/>
          <w:numId w:val="15"/>
        </w:numPr>
        <w:ind w:leftChars="100" w:left="630"/>
      </w:pPr>
      <w:r w:rsidRPr="001A6FC1">
        <w:rPr>
          <w:rFonts w:hint="eastAsia"/>
        </w:rPr>
        <w:t>参训</w:t>
      </w:r>
      <w:r w:rsidR="00DE60F9" w:rsidRPr="001A6FC1">
        <w:rPr>
          <w:rFonts w:hint="eastAsia"/>
        </w:rPr>
        <w:t>学员在培训</w:t>
      </w:r>
      <w:r w:rsidRPr="001A6FC1">
        <w:rPr>
          <w:rFonts w:hint="eastAsia"/>
        </w:rPr>
        <w:t>期间</w:t>
      </w:r>
      <w:r w:rsidR="00DE60F9" w:rsidRPr="001A6FC1">
        <w:rPr>
          <w:rFonts w:hint="eastAsia"/>
        </w:rPr>
        <w:t>要认真听讲，做好笔记，要勤于思考，加强与专家和同行的交流，确保培训取得实效。</w:t>
      </w:r>
    </w:p>
    <w:p w14:paraId="7743869E" w14:textId="357D5AAD" w:rsidR="00DE60F9" w:rsidRPr="001A6FC1" w:rsidRDefault="00DE60F9" w:rsidP="00D361C9">
      <w:pPr>
        <w:pStyle w:val="2"/>
        <w:numPr>
          <w:ilvl w:val="0"/>
          <w:numId w:val="14"/>
        </w:numPr>
        <w:spacing w:beforeLines="100" w:before="312"/>
        <w:ind w:leftChars="100" w:left="630"/>
      </w:pPr>
      <w:r w:rsidRPr="001A6FC1">
        <w:rPr>
          <w:rFonts w:hint="eastAsia"/>
        </w:rPr>
        <w:t>考勤制度</w:t>
      </w:r>
    </w:p>
    <w:p w14:paraId="19E47C6D" w14:textId="77777777" w:rsidR="001A6FC1" w:rsidRPr="001A6FC1" w:rsidRDefault="00DE60F9" w:rsidP="00D361C9">
      <w:pPr>
        <w:pStyle w:val="ab"/>
        <w:numPr>
          <w:ilvl w:val="0"/>
          <w:numId w:val="16"/>
        </w:numPr>
        <w:ind w:leftChars="100" w:left="630"/>
      </w:pPr>
      <w:r w:rsidRPr="001A6FC1">
        <w:rPr>
          <w:rFonts w:hint="eastAsia"/>
        </w:rPr>
        <w:t>严格考勤制度，对无故不参加学习者</w:t>
      </w:r>
      <w:r w:rsidR="004823AD" w:rsidRPr="001A6FC1">
        <w:rPr>
          <w:rFonts w:hint="eastAsia"/>
        </w:rPr>
        <w:t>提出</w:t>
      </w:r>
      <w:r w:rsidRPr="001A6FC1">
        <w:rPr>
          <w:rFonts w:hint="eastAsia"/>
        </w:rPr>
        <w:t>批评。</w:t>
      </w:r>
    </w:p>
    <w:p w14:paraId="5F53A912" w14:textId="2D0E5520" w:rsidR="00DE60F9" w:rsidRPr="001A6FC1" w:rsidRDefault="00DE60F9" w:rsidP="00D361C9">
      <w:pPr>
        <w:pStyle w:val="ab"/>
        <w:numPr>
          <w:ilvl w:val="0"/>
          <w:numId w:val="16"/>
        </w:numPr>
        <w:ind w:leftChars="100" w:left="630"/>
      </w:pPr>
      <w:r w:rsidRPr="001A6FC1">
        <w:rPr>
          <w:rFonts w:hint="eastAsia"/>
        </w:rPr>
        <w:t>学员在培训期间不得无故退出，否则取消学员资格，两年内不得参加培训班学习。</w:t>
      </w:r>
    </w:p>
    <w:p w14:paraId="1AB87399" w14:textId="77777777" w:rsidR="001A6FC1" w:rsidRPr="001A6FC1" w:rsidRDefault="00DE60F9" w:rsidP="00D361C9">
      <w:pPr>
        <w:pStyle w:val="ab"/>
        <w:numPr>
          <w:ilvl w:val="0"/>
          <w:numId w:val="16"/>
        </w:numPr>
        <w:ind w:leftChars="100" w:left="630"/>
      </w:pPr>
      <w:r w:rsidRPr="001A6FC1">
        <w:rPr>
          <w:rFonts w:hint="eastAsia"/>
        </w:rPr>
        <w:t>如</w:t>
      </w:r>
      <w:proofErr w:type="gramStart"/>
      <w:r w:rsidRPr="001A6FC1">
        <w:rPr>
          <w:rFonts w:hint="eastAsia"/>
        </w:rPr>
        <w:t>因重要</w:t>
      </w:r>
      <w:proofErr w:type="gramEnd"/>
      <w:r w:rsidRPr="001A6FC1">
        <w:rPr>
          <w:rFonts w:hint="eastAsia"/>
        </w:rPr>
        <w:t>公务或因病导致不能继续学习的，</w:t>
      </w:r>
      <w:r w:rsidR="004823AD" w:rsidRPr="00C46E15">
        <w:rPr>
          <w:rFonts w:hint="eastAsia"/>
        </w:rPr>
        <w:t>须出具二</w:t>
      </w:r>
      <w:proofErr w:type="gramStart"/>
      <w:r w:rsidR="004823AD" w:rsidRPr="00C46E15">
        <w:rPr>
          <w:rFonts w:hint="eastAsia"/>
        </w:rPr>
        <w:t>甲以上</w:t>
      </w:r>
      <w:proofErr w:type="gramEnd"/>
      <w:r w:rsidR="004823AD" w:rsidRPr="00C46E15">
        <w:rPr>
          <w:rFonts w:hint="eastAsia"/>
        </w:rPr>
        <w:t>医院病情证明或所在部门学院批准同意材料，</w:t>
      </w:r>
      <w:r w:rsidRPr="001A6FC1">
        <w:rPr>
          <w:rFonts w:hint="eastAsia"/>
        </w:rPr>
        <w:t>向</w:t>
      </w:r>
      <w:r w:rsidR="004823AD" w:rsidRPr="001A6FC1">
        <w:rPr>
          <w:rFonts w:hint="eastAsia"/>
        </w:rPr>
        <w:t>中</w:t>
      </w:r>
      <w:r w:rsidR="004823AD" w:rsidRPr="001A6FC1">
        <w:rPr>
          <w:rFonts w:hint="eastAsia"/>
        </w:rPr>
        <w:lastRenderedPageBreak/>
        <w:t>国出土医学文献与文物研究院</w:t>
      </w:r>
      <w:r w:rsidRPr="001A6FC1">
        <w:rPr>
          <w:rFonts w:hint="eastAsia"/>
        </w:rPr>
        <w:t>递交书面申请，经同意后可退出培训班或保留学习资格。</w:t>
      </w:r>
    </w:p>
    <w:p w14:paraId="733FD96C" w14:textId="5B7B0D42" w:rsidR="00DE60F9" w:rsidRPr="001A6FC1" w:rsidRDefault="00DE60F9" w:rsidP="00D361C9">
      <w:pPr>
        <w:pStyle w:val="2"/>
        <w:numPr>
          <w:ilvl w:val="0"/>
          <w:numId w:val="14"/>
        </w:numPr>
        <w:spacing w:beforeLines="100" w:before="312"/>
        <w:ind w:leftChars="100" w:left="630"/>
      </w:pPr>
      <w:r w:rsidRPr="001A6FC1">
        <w:rPr>
          <w:rFonts w:hint="eastAsia"/>
        </w:rPr>
        <w:t>考核与结业</w:t>
      </w:r>
    </w:p>
    <w:p w14:paraId="4239D7DE" w14:textId="7A2CF311" w:rsidR="00101A19" w:rsidRDefault="00101A19" w:rsidP="00101A19">
      <w:pPr>
        <w:pStyle w:val="ab"/>
        <w:numPr>
          <w:ilvl w:val="0"/>
          <w:numId w:val="17"/>
        </w:numPr>
      </w:pPr>
      <w:r>
        <w:t>培训课程结束后，成都中医药大学中国出土医学文献与文物研究院负责核算学员考核成绩，合格则由成都中医药大学颁发培训合格结业证书。</w:t>
      </w:r>
    </w:p>
    <w:p w14:paraId="6FD81DD0" w14:textId="1584E99E" w:rsidR="00101A19" w:rsidRDefault="00101A19" w:rsidP="00101A19">
      <w:pPr>
        <w:pStyle w:val="ab"/>
        <w:numPr>
          <w:ilvl w:val="0"/>
          <w:numId w:val="17"/>
        </w:numPr>
      </w:pPr>
      <w:r>
        <w:t>学员结业成绩由平时作业成绩（占</w:t>
      </w:r>
      <w:r>
        <w:t>30%</w:t>
      </w:r>
      <w:r>
        <w:t>）和考勤成绩（占</w:t>
      </w:r>
      <w:r>
        <w:t>70%</w:t>
      </w:r>
      <w:r>
        <w:t>）两部分构成。</w:t>
      </w:r>
    </w:p>
    <w:p w14:paraId="067C59E3" w14:textId="77777777" w:rsidR="00101A19" w:rsidRDefault="00101A19" w:rsidP="00101A19">
      <w:pPr>
        <w:pStyle w:val="ab"/>
        <w:ind w:left="1050" w:firstLine="0"/>
      </w:pPr>
      <w:r>
        <w:rPr>
          <w:rFonts w:hint="eastAsia"/>
        </w:rPr>
        <w:t>（</w:t>
      </w:r>
      <w:r>
        <w:t>1</w:t>
      </w:r>
      <w:r>
        <w:t>）平时成绩：由三位课程主讲老师布置作业，培训班结业之前提交作业均计入平时成绩。</w:t>
      </w:r>
    </w:p>
    <w:p w14:paraId="36796D6C" w14:textId="563CC735" w:rsidR="00101A19" w:rsidRDefault="00101A19" w:rsidP="00101A19">
      <w:pPr>
        <w:pStyle w:val="ab"/>
        <w:ind w:left="1050" w:firstLine="0"/>
      </w:pPr>
      <w:r>
        <w:rPr>
          <w:rFonts w:hint="eastAsia"/>
        </w:rPr>
        <w:t>（</w:t>
      </w:r>
      <w:r>
        <w:t>2</w:t>
      </w:r>
      <w:r>
        <w:t>）</w:t>
      </w:r>
      <w:r w:rsidR="00586EAE" w:rsidRPr="0046552B">
        <w:rPr>
          <w:rFonts w:hint="eastAsia"/>
        </w:rPr>
        <w:t>考勤成绩：</w:t>
      </w:r>
      <w:r w:rsidR="00586EAE">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0"/>
          </mc:Choice>
          <mc:Fallback>
            <w:t>①</w:t>
          </mc:Fallback>
        </mc:AlternateContent>
      </w:r>
      <w:r w:rsidR="00586EAE">
        <w:rPr>
          <w:rFonts w:hint="eastAsia"/>
        </w:rPr>
        <w:t>线下班签到计为出勤。</w:t>
      </w:r>
      <w:r w:rsidR="00586EAE">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1"/>
          </mc:Choice>
          <mc:Fallback>
            <w:t>②</w:t>
          </mc:Fallback>
        </mc:AlternateContent>
      </w:r>
      <w:r w:rsidR="00586EAE">
        <w:rPr>
          <w:rFonts w:hint="eastAsia"/>
        </w:rPr>
        <w:t>线上班</w:t>
      </w:r>
      <w:r w:rsidR="00586EAE" w:rsidRPr="0046552B">
        <w:rPr>
          <w:rFonts w:hint="eastAsia"/>
        </w:rPr>
        <w:t>24</w:t>
      </w:r>
      <w:r w:rsidR="00586EAE" w:rsidRPr="0046552B">
        <w:rPr>
          <w:rFonts w:hint="eastAsia"/>
        </w:rPr>
        <w:t>小时内完整看完视频课程计为出勤</w:t>
      </w:r>
      <w:r w:rsidR="00586EAE">
        <w:rPr>
          <w:rFonts w:hint="eastAsia"/>
        </w:rPr>
        <w:t>，</w:t>
      </w:r>
      <w:r w:rsidR="00586EAE" w:rsidRPr="0046552B">
        <w:rPr>
          <w:rFonts w:hint="eastAsia"/>
        </w:rPr>
        <w:t>观看时长不足</w:t>
      </w:r>
      <w:r w:rsidR="00586EAE" w:rsidRPr="0046552B">
        <w:rPr>
          <w:rFonts w:hint="eastAsia"/>
        </w:rPr>
        <w:t>80%</w:t>
      </w:r>
      <w:r w:rsidR="00586EAE">
        <w:rPr>
          <w:rFonts w:hint="eastAsia"/>
        </w:rPr>
        <w:t>计为缺勤；</w:t>
      </w:r>
      <w:r w:rsidR="00586EAE" w:rsidRPr="0046552B">
        <w:rPr>
          <w:rFonts w:hint="eastAsia"/>
        </w:rPr>
        <w:t>未注册</w:t>
      </w:r>
      <w:r w:rsidR="00586EAE" w:rsidRPr="0046552B">
        <w:rPr>
          <w:rFonts w:hint="eastAsia"/>
        </w:rPr>
        <w:t>/</w:t>
      </w:r>
      <w:r w:rsidR="00586EAE" w:rsidRPr="0046552B">
        <w:rPr>
          <w:rFonts w:hint="eastAsia"/>
        </w:rPr>
        <w:t>未登录的学员无法记录出勤。</w:t>
      </w:r>
      <w:bookmarkStart w:id="0" w:name="_GoBack"/>
      <w:bookmarkEnd w:id="0"/>
    </w:p>
    <w:p w14:paraId="738502C9" w14:textId="60908C3B" w:rsidR="00DE60F9" w:rsidRPr="001A6FC1" w:rsidRDefault="00101A19" w:rsidP="00101A19">
      <w:pPr>
        <w:pStyle w:val="ab"/>
        <w:numPr>
          <w:ilvl w:val="0"/>
          <w:numId w:val="17"/>
        </w:numPr>
      </w:pPr>
      <w:r>
        <w:t>学员考核成绩达</w:t>
      </w:r>
      <w:r>
        <w:t>60</w:t>
      </w:r>
      <w:r>
        <w:t>分即为合格，合格学员可申请培训结业证书。</w:t>
      </w:r>
    </w:p>
    <w:p w14:paraId="50C8D147" w14:textId="66BF2B50" w:rsidR="00DE60F9" w:rsidRPr="001A6FC1" w:rsidRDefault="00DE60F9" w:rsidP="00D361C9">
      <w:pPr>
        <w:pStyle w:val="2"/>
        <w:numPr>
          <w:ilvl w:val="0"/>
          <w:numId w:val="14"/>
        </w:numPr>
        <w:spacing w:beforeLines="100" w:before="312"/>
        <w:ind w:leftChars="100" w:left="630"/>
      </w:pPr>
      <w:r w:rsidRPr="001A6FC1">
        <w:rPr>
          <w:rFonts w:hint="eastAsia"/>
        </w:rPr>
        <w:t>其他事项</w:t>
      </w:r>
    </w:p>
    <w:p w14:paraId="43117F2A" w14:textId="188D1AC0" w:rsidR="00DE60F9" w:rsidRPr="00C46E15" w:rsidRDefault="00DE60F9" w:rsidP="00D361C9">
      <w:pPr>
        <w:pStyle w:val="ab"/>
        <w:numPr>
          <w:ilvl w:val="0"/>
          <w:numId w:val="18"/>
        </w:numPr>
        <w:ind w:leftChars="100" w:left="630"/>
      </w:pPr>
      <w:r w:rsidRPr="00C46E15">
        <w:rPr>
          <w:rFonts w:hint="eastAsia"/>
        </w:rPr>
        <w:t>各单位要积极鼓励和支持有志于“冷门绝学”继承的中医药行业中青年骨干参加</w:t>
      </w:r>
      <w:r w:rsidRPr="00C46E15">
        <w:rPr>
          <w:rFonts w:hint="eastAsia"/>
        </w:rPr>
        <w:t>2021</w:t>
      </w:r>
      <w:r w:rsidRPr="00C46E15">
        <w:rPr>
          <w:rFonts w:hint="eastAsia"/>
        </w:rPr>
        <w:t>年度“冷门绝学”继承型人才学术能力提升能力培训，对其培训在时间上给予支持和保证。</w:t>
      </w:r>
    </w:p>
    <w:p w14:paraId="11483717" w14:textId="77777777" w:rsidR="00DE60F9" w:rsidRPr="00C46E15" w:rsidRDefault="00DE60F9" w:rsidP="00D361C9">
      <w:pPr>
        <w:pStyle w:val="ab"/>
        <w:numPr>
          <w:ilvl w:val="0"/>
          <w:numId w:val="18"/>
        </w:numPr>
        <w:ind w:leftChars="100" w:left="630"/>
      </w:pPr>
      <w:r w:rsidRPr="00C46E15">
        <w:rPr>
          <w:rFonts w:hint="eastAsia"/>
        </w:rPr>
        <w:t>本办法的解释权归成都中医药大学。</w:t>
      </w:r>
    </w:p>
    <w:p w14:paraId="7773D1F3" w14:textId="77777777" w:rsidR="00490D86" w:rsidRPr="00DE60F9" w:rsidRDefault="00490D86" w:rsidP="00D361C9">
      <w:pPr>
        <w:pStyle w:val="ab"/>
        <w:ind w:leftChars="100" w:left="210"/>
      </w:pPr>
    </w:p>
    <w:sectPr w:rsidR="00490D86" w:rsidRPr="00DE6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FangSong">
    <w:altName w:val="Malgun Gothic Semilight"/>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51D283"/>
    <w:multiLevelType w:val="singleLevel"/>
    <w:tmpl w:val="F851D283"/>
    <w:lvl w:ilvl="0">
      <w:start w:val="2"/>
      <w:numFmt w:val="decimal"/>
      <w:suff w:val="space"/>
      <w:lvlText w:val="%1."/>
      <w:lvlJc w:val="left"/>
      <w:pPr>
        <w:ind w:left="0" w:firstLine="0"/>
      </w:pPr>
    </w:lvl>
  </w:abstractNum>
  <w:abstractNum w:abstractNumId="1" w15:restartNumberingAfterBreak="0">
    <w:nsid w:val="0B1143B8"/>
    <w:multiLevelType w:val="hybridMultilevel"/>
    <w:tmpl w:val="33885AAA"/>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0E6C0A57"/>
    <w:multiLevelType w:val="hybridMultilevel"/>
    <w:tmpl w:val="AB3A3FA8"/>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0ED37031"/>
    <w:multiLevelType w:val="hybridMultilevel"/>
    <w:tmpl w:val="96A25DD0"/>
    <w:lvl w:ilvl="0" w:tplc="649C123E">
      <w:start w:val="1"/>
      <w:numFmt w:val="decimal"/>
      <w:lvlText w:val="%1．"/>
      <w:lvlJc w:val="left"/>
      <w:pPr>
        <w:ind w:left="1216" w:hanging="720"/>
      </w:pPr>
      <w:rPr>
        <w:rFonts w:hint="default"/>
      </w:rPr>
    </w:lvl>
    <w:lvl w:ilvl="1" w:tplc="04090019">
      <w:start w:val="1"/>
      <w:numFmt w:val="lowerLetter"/>
      <w:lvlText w:val="%2)"/>
      <w:lvlJc w:val="left"/>
      <w:pPr>
        <w:ind w:left="840" w:hanging="420"/>
      </w:pPr>
    </w:lvl>
    <w:lvl w:ilvl="2" w:tplc="9C74BA82">
      <w:start w:val="1"/>
      <w:numFmt w:val="japaneseCounting"/>
      <w:lvlText w:val="%3、"/>
      <w:lvlJc w:val="left"/>
      <w:pPr>
        <w:ind w:left="1560" w:hanging="720"/>
      </w:pPr>
      <w:rPr>
        <w:rFonts w:hint="default"/>
      </w:rPr>
    </w:lvl>
    <w:lvl w:ilvl="3" w:tplc="8892B91A">
      <w:start w:val="1"/>
      <w:numFmt w:val="decimal"/>
      <w:lvlText w:val="%4."/>
      <w:lvlJc w:val="left"/>
      <w:pPr>
        <w:ind w:left="1680" w:hanging="4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9D6933"/>
    <w:multiLevelType w:val="hybridMultilevel"/>
    <w:tmpl w:val="1F94ECB0"/>
    <w:lvl w:ilvl="0" w:tplc="270DFFA3">
      <w:start w:val="2"/>
      <w:numFmt w:val="decimal"/>
      <w:suff w:val="space"/>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9A4B9A"/>
    <w:multiLevelType w:val="hybridMultilevel"/>
    <w:tmpl w:val="147EA1E0"/>
    <w:lvl w:ilvl="0" w:tplc="649C123E">
      <w:start w:val="1"/>
      <w:numFmt w:val="decimal"/>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6" w15:restartNumberingAfterBreak="0">
    <w:nsid w:val="250C6656"/>
    <w:multiLevelType w:val="hybridMultilevel"/>
    <w:tmpl w:val="F7169116"/>
    <w:lvl w:ilvl="0" w:tplc="7B32CCB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5F01582"/>
    <w:multiLevelType w:val="hybridMultilevel"/>
    <w:tmpl w:val="ADBCA1EC"/>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270DFFA3"/>
    <w:multiLevelType w:val="singleLevel"/>
    <w:tmpl w:val="270DFFA3"/>
    <w:lvl w:ilvl="0">
      <w:start w:val="2"/>
      <w:numFmt w:val="decimal"/>
      <w:suff w:val="space"/>
      <w:lvlText w:val="%1."/>
      <w:lvlJc w:val="left"/>
      <w:pPr>
        <w:ind w:left="0" w:firstLine="0"/>
      </w:pPr>
    </w:lvl>
  </w:abstractNum>
  <w:abstractNum w:abstractNumId="9" w15:restartNumberingAfterBreak="0">
    <w:nsid w:val="3B223E2B"/>
    <w:multiLevelType w:val="hybridMultilevel"/>
    <w:tmpl w:val="7BDAC378"/>
    <w:lvl w:ilvl="0" w:tplc="0409000F">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414C4C25"/>
    <w:multiLevelType w:val="hybridMultilevel"/>
    <w:tmpl w:val="7BDAC378"/>
    <w:lvl w:ilvl="0" w:tplc="0409000F">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1A300ED"/>
    <w:multiLevelType w:val="hybridMultilevel"/>
    <w:tmpl w:val="9CAABBD4"/>
    <w:lvl w:ilvl="0" w:tplc="04090013">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15:restartNumberingAfterBreak="0">
    <w:nsid w:val="640F555B"/>
    <w:multiLevelType w:val="hybridMultilevel"/>
    <w:tmpl w:val="B9406B6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8AF4ABF"/>
    <w:multiLevelType w:val="hybridMultilevel"/>
    <w:tmpl w:val="91BC800A"/>
    <w:lvl w:ilvl="0" w:tplc="649C123E">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92909E0"/>
    <w:multiLevelType w:val="multilevel"/>
    <w:tmpl w:val="692909E0"/>
    <w:lvl w:ilvl="0">
      <w:start w:val="2"/>
      <w:numFmt w:val="japaneseCounting"/>
      <w:lvlText w:val="%1、"/>
      <w:lvlJc w:val="left"/>
      <w:pPr>
        <w:ind w:left="905" w:hanging="48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70291251"/>
    <w:multiLevelType w:val="hybridMultilevel"/>
    <w:tmpl w:val="FFFABEC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75395AF1"/>
    <w:multiLevelType w:val="hybridMultilevel"/>
    <w:tmpl w:val="0EA2D614"/>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15:restartNumberingAfterBreak="0">
    <w:nsid w:val="772170EB"/>
    <w:multiLevelType w:val="hybridMultilevel"/>
    <w:tmpl w:val="7BDAC378"/>
    <w:lvl w:ilvl="0" w:tplc="0409000F">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num>
  <w:num w:numId="3">
    <w:abstractNumId w:val="8"/>
    <w:lvlOverride w:ilvl="0">
      <w:startOverride w:val="1"/>
    </w:lvlOverride>
  </w:num>
  <w:num w:numId="4">
    <w:abstractNumId w:val="6"/>
  </w:num>
  <w:num w:numId="5">
    <w:abstractNumId w:val="5"/>
  </w:num>
  <w:num w:numId="6">
    <w:abstractNumId w:val="3"/>
  </w:num>
  <w:num w:numId="7">
    <w:abstractNumId w:val="4"/>
  </w:num>
  <w:num w:numId="8">
    <w:abstractNumId w:val="15"/>
  </w:num>
  <w:num w:numId="9">
    <w:abstractNumId w:val="13"/>
  </w:num>
  <w:num w:numId="10">
    <w:abstractNumId w:val="9"/>
  </w:num>
  <w:num w:numId="11">
    <w:abstractNumId w:val="10"/>
  </w:num>
  <w:num w:numId="12">
    <w:abstractNumId w:val="17"/>
  </w:num>
  <w:num w:numId="13">
    <w:abstractNumId w:val="12"/>
  </w:num>
  <w:num w:numId="14">
    <w:abstractNumId w:val="11"/>
  </w:num>
  <w:num w:numId="15">
    <w:abstractNumId w:val="1"/>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86"/>
    <w:rsid w:val="00101A19"/>
    <w:rsid w:val="001A6FC1"/>
    <w:rsid w:val="004823AD"/>
    <w:rsid w:val="00490D86"/>
    <w:rsid w:val="00586EAE"/>
    <w:rsid w:val="00A41755"/>
    <w:rsid w:val="00C46E15"/>
    <w:rsid w:val="00D361C9"/>
    <w:rsid w:val="00DE60F9"/>
    <w:rsid w:val="00E6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4158"/>
  <w15:chartTrackingRefBased/>
  <w15:docId w15:val="{39303908-9129-4C75-988C-6D770C7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0F9"/>
    <w:pPr>
      <w:widowControl w:val="0"/>
      <w:jc w:val="both"/>
    </w:pPr>
  </w:style>
  <w:style w:type="paragraph" w:styleId="1">
    <w:name w:val="heading 1"/>
    <w:basedOn w:val="a0"/>
    <w:next w:val="a"/>
    <w:link w:val="10"/>
    <w:qFormat/>
    <w:rsid w:val="00D361C9"/>
    <w:pPr>
      <w:outlineLvl w:val="0"/>
    </w:pPr>
  </w:style>
  <w:style w:type="paragraph" w:styleId="2">
    <w:name w:val="heading 2"/>
    <w:basedOn w:val="a"/>
    <w:next w:val="a"/>
    <w:link w:val="20"/>
    <w:unhideWhenUsed/>
    <w:qFormat/>
    <w:rsid w:val="00D361C9"/>
    <w:pPr>
      <w:overflowPunct w:val="0"/>
      <w:autoSpaceDE w:val="0"/>
      <w:autoSpaceDN w:val="0"/>
      <w:adjustRightInd w:val="0"/>
      <w:snapToGrid w:val="0"/>
      <w:spacing w:line="560" w:lineRule="exact"/>
      <w:ind w:firstLine="630"/>
      <w:outlineLvl w:val="1"/>
    </w:pPr>
    <w:rPr>
      <w:rFonts w:ascii="方正黑体简体" w:eastAsia="方正黑体简体" w:hAnsi="Times New Roman" w:cs="Times New Roman"/>
      <w:sz w:val="32"/>
      <w:szCs w:val="32"/>
    </w:rPr>
  </w:style>
  <w:style w:type="paragraph" w:styleId="3">
    <w:name w:val="heading 3"/>
    <w:basedOn w:val="a"/>
    <w:next w:val="a"/>
    <w:link w:val="30"/>
    <w:unhideWhenUsed/>
    <w:qFormat/>
    <w:rsid w:val="00D361C9"/>
    <w:pPr>
      <w:overflowPunct w:val="0"/>
      <w:autoSpaceDE w:val="0"/>
      <w:autoSpaceDN w:val="0"/>
      <w:adjustRightInd w:val="0"/>
      <w:snapToGrid w:val="0"/>
      <w:spacing w:line="560" w:lineRule="exact"/>
      <w:ind w:firstLine="645"/>
      <w:outlineLvl w:val="2"/>
    </w:pPr>
    <w:rPr>
      <w:rFonts w:ascii="方正楷体简体" w:eastAsia="方正楷体简体" w:hAnsi="Times New Roman" w:cs="Times New Roman"/>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DE60F9"/>
    <w:pPr>
      <w:autoSpaceDE w:val="0"/>
      <w:autoSpaceDN w:val="0"/>
      <w:spacing w:before="134"/>
      <w:ind w:left="2137" w:hanging="2138"/>
      <w:jc w:val="left"/>
    </w:pPr>
    <w:rPr>
      <w:rFonts w:ascii="宋体" w:eastAsia="宋体" w:hAnsi="宋体" w:cs="宋体"/>
      <w:kern w:val="0"/>
      <w:sz w:val="22"/>
    </w:rPr>
  </w:style>
  <w:style w:type="character" w:styleId="a5">
    <w:name w:val="Hyperlink"/>
    <w:basedOn w:val="a1"/>
    <w:uiPriority w:val="99"/>
    <w:unhideWhenUsed/>
    <w:rsid w:val="00A41755"/>
    <w:rPr>
      <w:color w:val="0563C1" w:themeColor="hyperlink"/>
      <w:u w:val="single"/>
    </w:rPr>
  </w:style>
  <w:style w:type="paragraph" w:styleId="a6">
    <w:name w:val="Balloon Text"/>
    <w:basedOn w:val="a"/>
    <w:link w:val="a7"/>
    <w:uiPriority w:val="99"/>
    <w:semiHidden/>
    <w:unhideWhenUsed/>
    <w:rsid w:val="00E66F78"/>
    <w:rPr>
      <w:sz w:val="18"/>
      <w:szCs w:val="18"/>
    </w:rPr>
  </w:style>
  <w:style w:type="character" w:customStyle="1" w:styleId="a7">
    <w:name w:val="批注框文本 字符"/>
    <w:basedOn w:val="a1"/>
    <w:link w:val="a6"/>
    <w:uiPriority w:val="99"/>
    <w:semiHidden/>
    <w:rsid w:val="00E66F78"/>
    <w:rPr>
      <w:sz w:val="18"/>
      <w:szCs w:val="18"/>
    </w:rPr>
  </w:style>
  <w:style w:type="paragraph" w:styleId="a0">
    <w:name w:val="Title"/>
    <w:basedOn w:val="a"/>
    <w:next w:val="a"/>
    <w:link w:val="a8"/>
    <w:qFormat/>
    <w:rsid w:val="00D361C9"/>
    <w:pPr>
      <w:snapToGrid w:val="0"/>
      <w:spacing w:line="680" w:lineRule="exact"/>
      <w:jc w:val="center"/>
    </w:pPr>
    <w:rPr>
      <w:rFonts w:ascii="方正小标宋简体" w:eastAsia="方正小标宋简体" w:hAnsi="宋体" w:cs="Times New Roman"/>
      <w:sz w:val="44"/>
      <w:szCs w:val="44"/>
    </w:rPr>
  </w:style>
  <w:style w:type="character" w:customStyle="1" w:styleId="a8">
    <w:name w:val="标题 字符"/>
    <w:basedOn w:val="a1"/>
    <w:link w:val="a0"/>
    <w:rsid w:val="00D361C9"/>
    <w:rPr>
      <w:rFonts w:ascii="方正小标宋简体" w:eastAsia="方正小标宋简体" w:hAnsi="宋体" w:cs="Times New Roman"/>
      <w:sz w:val="44"/>
      <w:szCs w:val="44"/>
    </w:rPr>
  </w:style>
  <w:style w:type="character" w:customStyle="1" w:styleId="10">
    <w:name w:val="标题 1 字符"/>
    <w:basedOn w:val="a1"/>
    <w:link w:val="1"/>
    <w:rsid w:val="00D361C9"/>
    <w:rPr>
      <w:rFonts w:ascii="方正小标宋简体" w:eastAsia="方正小标宋简体" w:hAnsi="宋体" w:cs="Times New Roman"/>
      <w:sz w:val="44"/>
      <w:szCs w:val="44"/>
    </w:rPr>
  </w:style>
  <w:style w:type="character" w:customStyle="1" w:styleId="20">
    <w:name w:val="标题 2 字符"/>
    <w:basedOn w:val="a1"/>
    <w:link w:val="2"/>
    <w:rsid w:val="00D361C9"/>
    <w:rPr>
      <w:rFonts w:ascii="方正黑体简体" w:eastAsia="方正黑体简体" w:hAnsi="Times New Roman" w:cs="Times New Roman"/>
      <w:sz w:val="32"/>
      <w:szCs w:val="32"/>
    </w:rPr>
  </w:style>
  <w:style w:type="character" w:customStyle="1" w:styleId="30">
    <w:name w:val="标题 3 字符"/>
    <w:basedOn w:val="a1"/>
    <w:link w:val="3"/>
    <w:rsid w:val="00D361C9"/>
    <w:rPr>
      <w:rFonts w:ascii="方正楷体简体" w:eastAsia="方正楷体简体" w:hAnsi="Times New Roman" w:cs="Times New Roman"/>
      <w:bCs/>
      <w:sz w:val="32"/>
      <w:szCs w:val="32"/>
    </w:rPr>
  </w:style>
  <w:style w:type="paragraph" w:styleId="a9">
    <w:name w:val="Body Text"/>
    <w:aliases w:val="附件"/>
    <w:basedOn w:val="a"/>
    <w:link w:val="aa"/>
    <w:rsid w:val="00D361C9"/>
    <w:pPr>
      <w:spacing w:line="560" w:lineRule="exact"/>
    </w:pPr>
    <w:rPr>
      <w:rFonts w:ascii="方正黑体简体" w:eastAsia="方正黑体简体" w:hAnsi="Times New Roman" w:cs="Times New Roman"/>
      <w:kern w:val="0"/>
      <w:sz w:val="32"/>
      <w:szCs w:val="32"/>
    </w:rPr>
  </w:style>
  <w:style w:type="character" w:customStyle="1" w:styleId="aa">
    <w:name w:val="正文文本 字符"/>
    <w:aliases w:val="附件 字符"/>
    <w:basedOn w:val="a1"/>
    <w:link w:val="a9"/>
    <w:rsid w:val="00D361C9"/>
    <w:rPr>
      <w:rFonts w:ascii="方正黑体简体" w:eastAsia="方正黑体简体" w:hAnsi="Times New Roman" w:cs="Times New Roman"/>
      <w:kern w:val="0"/>
      <w:sz w:val="32"/>
      <w:szCs w:val="32"/>
    </w:rPr>
  </w:style>
  <w:style w:type="paragraph" w:styleId="ab">
    <w:name w:val="Body Text First Indent"/>
    <w:basedOn w:val="a"/>
    <w:link w:val="ac"/>
    <w:rsid w:val="00D361C9"/>
    <w:pPr>
      <w:overflowPunct w:val="0"/>
      <w:autoSpaceDE w:val="0"/>
      <w:autoSpaceDN w:val="0"/>
      <w:adjustRightInd w:val="0"/>
      <w:snapToGrid w:val="0"/>
      <w:spacing w:line="560" w:lineRule="exact"/>
      <w:ind w:firstLine="630"/>
    </w:pPr>
    <w:rPr>
      <w:rFonts w:ascii="Times New Roman" w:eastAsia="方正仿宋简体" w:hAnsi="Times New Roman" w:cs="Times New Roman"/>
      <w:sz w:val="32"/>
      <w:szCs w:val="32"/>
    </w:rPr>
  </w:style>
  <w:style w:type="character" w:customStyle="1" w:styleId="ac">
    <w:name w:val="正文首行缩进 字符"/>
    <w:basedOn w:val="a1"/>
    <w:link w:val="ab"/>
    <w:rsid w:val="00D361C9"/>
    <w:rPr>
      <w:rFonts w:ascii="Times New Roman" w:eastAsia="方正仿宋简体"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57485">
      <w:bodyDiv w:val="1"/>
      <w:marLeft w:val="0"/>
      <w:marRight w:val="0"/>
      <w:marTop w:val="0"/>
      <w:marBottom w:val="0"/>
      <w:divBdr>
        <w:top w:val="none" w:sz="0" w:space="0" w:color="auto"/>
        <w:left w:val="none" w:sz="0" w:space="0" w:color="auto"/>
        <w:bottom w:val="none" w:sz="0" w:space="0" w:color="auto"/>
        <w:right w:val="none" w:sz="0" w:space="0" w:color="auto"/>
      </w:divBdr>
    </w:div>
    <w:div w:id="18733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dutcm.fanya.chaoxing.com/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子倩</dc:creator>
  <cp:keywords/>
  <dc:description/>
  <cp:lastModifiedBy>程子倩</cp:lastModifiedBy>
  <cp:revision>9</cp:revision>
  <cp:lastPrinted>2021-06-22T01:07:00Z</cp:lastPrinted>
  <dcterms:created xsi:type="dcterms:W3CDTF">2021-06-08T02:32:00Z</dcterms:created>
  <dcterms:modified xsi:type="dcterms:W3CDTF">2021-06-24T05:59:00Z</dcterms:modified>
</cp:coreProperties>
</file>