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bookmarkStart w:id="0" w:name="_GoBack"/>
      <w:bookmarkEnd w:id="0"/>
      <w:r>
        <w:rPr>
          <w:rFonts w:hint="eastAsia" w:ascii="方正小标宋简体" w:eastAsia="方正小标宋简体"/>
          <w:sz w:val="36"/>
          <w:szCs w:val="36"/>
        </w:rPr>
        <mc:AlternateContent>
          <mc:Choice Requires="wps">
            <w:drawing>
              <wp:anchor distT="0" distB="0" distL="114300" distR="114300" simplePos="0" relativeHeight="251658240" behindDoc="0" locked="0" layoutInCell="1" allowOverlap="1">
                <wp:simplePos x="0" y="0"/>
                <wp:positionH relativeFrom="column">
                  <wp:posOffset>214630</wp:posOffset>
                </wp:positionH>
                <wp:positionV relativeFrom="paragraph">
                  <wp:posOffset>-390525</wp:posOffset>
                </wp:positionV>
                <wp:extent cx="709295" cy="1054100"/>
                <wp:effectExtent l="0" t="0" r="6985" b="12700"/>
                <wp:wrapNone/>
                <wp:docPr id="1" name="文本框 2"/>
                <wp:cNvGraphicFramePr/>
                <a:graphic xmlns:a="http://schemas.openxmlformats.org/drawingml/2006/main">
                  <a:graphicData uri="http://schemas.microsoft.com/office/word/2010/wordprocessingShape">
                    <wps:wsp>
                      <wps:cNvSpPr txBox="1"/>
                      <wps:spPr>
                        <a:xfrm>
                          <a:off x="0" y="0"/>
                          <a:ext cx="709295" cy="1054100"/>
                        </a:xfrm>
                        <a:prstGeom prst="rect">
                          <a:avLst/>
                        </a:prstGeom>
                        <a:solidFill>
                          <a:srgbClr val="FFFFFF"/>
                        </a:solidFill>
                        <a:ln>
                          <a:noFill/>
                        </a:ln>
                      </wps:spPr>
                      <wps:txbx>
                        <w:txbxContent>
                          <w:p>
                            <w:pPr>
                              <w:rPr>
                                <w:sz w:val="24"/>
                              </w:rPr>
                            </w:pPr>
                            <w:r>
                              <w:rPr>
                                <w:sz w:val="24"/>
                              </w:rPr>
                              <w:t>附件</w:t>
                            </w:r>
                            <w:r>
                              <w:rPr>
                                <w:rFonts w:hint="eastAsia"/>
                                <w:sz w:val="24"/>
                              </w:rPr>
                              <w:t>1</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6.9pt;margin-top:-30.75pt;height:83pt;width:55.85pt;z-index:251658240;mso-width-relative:page;mso-height-relative:margin;mso-height-percent:200;" fillcolor="#FFFFFF" filled="t" stroked="f" coordsize="21600,21600" o:gfxdata="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l6piPYAAAACgEAAA8AAAAAAAAAAQAgAAAAIgAAAGRycy9kb3ducmV2LnhtbFBL&#10;AQIUABQAAAAIAIdO4kDlNfRcvQEAAFEDAAAOAAAAAAAAAAEAIAAAACcBAABkcnMvZTJvRG9jLnht&#10;bFBLBQYAAAAABgAGAFkBAABWBQAAAAA=&#10;">
                <v:fill on="t" focussize="0,0"/>
                <v:stroke on="f"/>
                <v:imagedata o:title=""/>
                <o:lock v:ext="edit" aspectratio="f"/>
                <v:textbox style="mso-fit-shape-to-text:t;">
                  <w:txbxContent>
                    <w:p>
                      <w:pPr>
                        <w:rPr>
                          <w:sz w:val="24"/>
                        </w:rPr>
                      </w:pPr>
                      <w:r>
                        <w:rPr>
                          <w:sz w:val="24"/>
                        </w:rPr>
                        <w:t>附件</w:t>
                      </w:r>
                      <w:r>
                        <w:rPr>
                          <w:rFonts w:hint="eastAsia"/>
                          <w:sz w:val="24"/>
                        </w:rPr>
                        <w:t>1</w:t>
                      </w:r>
                    </w:p>
                  </w:txbxContent>
                </v:textbox>
              </v:shape>
            </w:pict>
          </mc:Fallback>
        </mc:AlternateContent>
      </w:r>
      <w:r>
        <w:rPr>
          <w:rFonts w:hint="eastAsia" w:ascii="方正小标宋简体" w:eastAsia="方正小标宋简体"/>
          <w:sz w:val="36"/>
          <w:szCs w:val="36"/>
        </w:rPr>
        <w:t>办理特约医疗证人员登记表</w:t>
      </w:r>
    </w:p>
    <w:p>
      <w:pPr>
        <w:rPr>
          <w:b/>
          <w:sz w:val="24"/>
        </w:rPr>
      </w:pPr>
      <w:r>
        <w:rPr>
          <w:rFonts w:hint="eastAsia"/>
          <w:b/>
          <w:sz w:val="24"/>
        </w:rPr>
        <w:t>填报单位：（盖章）                       单位地址：                                     年      月      日</w:t>
      </w:r>
    </w:p>
    <w:tbl>
      <w:tblPr>
        <w:tblStyle w:val="7"/>
        <w:tblW w:w="14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925"/>
        <w:gridCol w:w="1002"/>
        <w:gridCol w:w="536"/>
        <w:gridCol w:w="1070"/>
        <w:gridCol w:w="1070"/>
        <w:gridCol w:w="2494"/>
        <w:gridCol w:w="992"/>
        <w:gridCol w:w="1060"/>
        <w:gridCol w:w="1035"/>
        <w:gridCol w:w="841"/>
        <w:gridCol w:w="2394"/>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524" w:type="dxa"/>
            <w:noWrap w:val="0"/>
            <w:vAlign w:val="center"/>
          </w:tcPr>
          <w:p>
            <w:pPr>
              <w:rPr>
                <w:rFonts w:ascii="黑体" w:hAnsi="黑体" w:eastAsia="黑体"/>
                <w:b/>
                <w:sz w:val="24"/>
              </w:rPr>
            </w:pPr>
            <w:r>
              <w:rPr>
                <w:rFonts w:hint="eastAsia" w:ascii="黑体" w:hAnsi="黑体" w:eastAsia="黑体"/>
                <w:b/>
                <w:sz w:val="24"/>
              </w:rPr>
              <w:t>序号</w:t>
            </w:r>
          </w:p>
        </w:tc>
        <w:tc>
          <w:tcPr>
            <w:tcW w:w="925" w:type="dxa"/>
            <w:noWrap w:val="0"/>
            <w:vAlign w:val="center"/>
          </w:tcPr>
          <w:p>
            <w:pPr>
              <w:jc w:val="center"/>
              <w:rPr>
                <w:rFonts w:ascii="黑体" w:hAnsi="黑体" w:eastAsia="黑体"/>
                <w:b/>
                <w:sz w:val="24"/>
              </w:rPr>
            </w:pPr>
            <w:r>
              <w:rPr>
                <w:rFonts w:hint="eastAsia" w:ascii="黑体" w:hAnsi="黑体" w:eastAsia="黑体"/>
                <w:b/>
                <w:sz w:val="24"/>
              </w:rPr>
              <w:t>新特约证  号</w:t>
            </w:r>
          </w:p>
        </w:tc>
        <w:tc>
          <w:tcPr>
            <w:tcW w:w="1002" w:type="dxa"/>
            <w:noWrap w:val="0"/>
            <w:vAlign w:val="center"/>
          </w:tcPr>
          <w:p>
            <w:pPr>
              <w:jc w:val="center"/>
              <w:rPr>
                <w:rFonts w:ascii="黑体" w:hAnsi="黑体" w:eastAsia="黑体"/>
                <w:b/>
                <w:sz w:val="24"/>
              </w:rPr>
            </w:pPr>
            <w:r>
              <w:rPr>
                <w:rFonts w:hint="eastAsia" w:ascii="黑体" w:hAnsi="黑体" w:eastAsia="黑体"/>
                <w:b/>
                <w:sz w:val="24"/>
              </w:rPr>
              <w:t>姓名</w:t>
            </w:r>
          </w:p>
        </w:tc>
        <w:tc>
          <w:tcPr>
            <w:tcW w:w="536" w:type="dxa"/>
            <w:noWrap w:val="0"/>
            <w:vAlign w:val="center"/>
          </w:tcPr>
          <w:p>
            <w:pPr>
              <w:jc w:val="center"/>
              <w:rPr>
                <w:rFonts w:ascii="黑体" w:hAnsi="黑体" w:eastAsia="黑体"/>
                <w:b/>
                <w:sz w:val="24"/>
              </w:rPr>
            </w:pPr>
            <w:r>
              <w:rPr>
                <w:rFonts w:hint="eastAsia" w:ascii="黑体" w:hAnsi="黑体" w:eastAsia="黑体"/>
                <w:b/>
                <w:sz w:val="24"/>
              </w:rPr>
              <w:t>性别</w:t>
            </w:r>
          </w:p>
        </w:tc>
        <w:tc>
          <w:tcPr>
            <w:tcW w:w="1070" w:type="dxa"/>
            <w:noWrap w:val="0"/>
            <w:vAlign w:val="center"/>
          </w:tcPr>
          <w:p>
            <w:pPr>
              <w:jc w:val="center"/>
              <w:rPr>
                <w:rFonts w:ascii="黑体" w:hAnsi="黑体" w:eastAsia="黑体"/>
                <w:b/>
                <w:sz w:val="24"/>
              </w:rPr>
            </w:pPr>
            <w:r>
              <w:rPr>
                <w:rFonts w:hint="eastAsia" w:ascii="黑体" w:hAnsi="黑体" w:eastAsia="黑体"/>
                <w:b/>
                <w:sz w:val="24"/>
              </w:rPr>
              <w:t>出 生</w:t>
            </w:r>
          </w:p>
          <w:p>
            <w:pPr>
              <w:jc w:val="center"/>
              <w:rPr>
                <w:rFonts w:ascii="黑体" w:hAnsi="黑体" w:eastAsia="黑体"/>
                <w:b/>
                <w:sz w:val="24"/>
              </w:rPr>
            </w:pPr>
            <w:r>
              <w:rPr>
                <w:rFonts w:hint="eastAsia" w:ascii="黑体" w:hAnsi="黑体" w:eastAsia="黑体"/>
                <w:b/>
                <w:sz w:val="24"/>
              </w:rPr>
              <w:t>年 月</w:t>
            </w:r>
          </w:p>
        </w:tc>
        <w:tc>
          <w:tcPr>
            <w:tcW w:w="1070" w:type="dxa"/>
            <w:noWrap w:val="0"/>
            <w:vAlign w:val="center"/>
          </w:tcPr>
          <w:p>
            <w:pPr>
              <w:jc w:val="center"/>
              <w:rPr>
                <w:rFonts w:ascii="黑体" w:hAnsi="黑体" w:eastAsia="黑体"/>
                <w:b/>
                <w:sz w:val="24"/>
              </w:rPr>
            </w:pPr>
            <w:r>
              <w:rPr>
                <w:rFonts w:hint="eastAsia" w:ascii="黑体" w:hAnsi="黑体" w:eastAsia="黑体"/>
                <w:b/>
                <w:sz w:val="24"/>
              </w:rPr>
              <w:t>参加工作时间</w:t>
            </w:r>
          </w:p>
        </w:tc>
        <w:tc>
          <w:tcPr>
            <w:tcW w:w="2494" w:type="dxa"/>
            <w:noWrap w:val="0"/>
            <w:vAlign w:val="center"/>
          </w:tcPr>
          <w:p>
            <w:pPr>
              <w:jc w:val="center"/>
              <w:rPr>
                <w:rFonts w:ascii="黑体" w:hAnsi="黑体" w:eastAsia="黑体"/>
                <w:b/>
                <w:sz w:val="24"/>
              </w:rPr>
            </w:pPr>
            <w:r>
              <w:rPr>
                <w:rFonts w:hint="eastAsia" w:ascii="黑体" w:hAnsi="黑体" w:eastAsia="黑体"/>
                <w:b/>
                <w:sz w:val="24"/>
              </w:rPr>
              <w:t>工作单位</w:t>
            </w:r>
          </w:p>
        </w:tc>
        <w:tc>
          <w:tcPr>
            <w:tcW w:w="992" w:type="dxa"/>
            <w:noWrap w:val="0"/>
            <w:vAlign w:val="center"/>
          </w:tcPr>
          <w:p>
            <w:pPr>
              <w:jc w:val="center"/>
              <w:rPr>
                <w:rFonts w:ascii="黑体" w:hAnsi="黑体" w:eastAsia="黑体"/>
                <w:b/>
                <w:sz w:val="24"/>
              </w:rPr>
            </w:pPr>
            <w:r>
              <w:rPr>
                <w:rFonts w:hint="eastAsia" w:ascii="黑体" w:hAnsi="黑体" w:eastAsia="黑体"/>
                <w:b/>
                <w:sz w:val="24"/>
              </w:rPr>
              <w:t>行政</w:t>
            </w:r>
          </w:p>
          <w:p>
            <w:pPr>
              <w:jc w:val="center"/>
              <w:rPr>
                <w:rFonts w:ascii="黑体" w:hAnsi="黑体" w:eastAsia="黑体"/>
                <w:b/>
                <w:sz w:val="24"/>
              </w:rPr>
            </w:pPr>
            <w:r>
              <w:rPr>
                <w:rFonts w:hint="eastAsia" w:ascii="黑体" w:hAnsi="黑体" w:eastAsia="黑体"/>
                <w:b/>
                <w:sz w:val="24"/>
              </w:rPr>
              <w:t>职务</w:t>
            </w:r>
          </w:p>
        </w:tc>
        <w:tc>
          <w:tcPr>
            <w:tcW w:w="1060" w:type="dxa"/>
            <w:noWrap w:val="0"/>
            <w:vAlign w:val="center"/>
          </w:tcPr>
          <w:p>
            <w:pPr>
              <w:jc w:val="center"/>
              <w:rPr>
                <w:rFonts w:ascii="黑体" w:hAnsi="黑体" w:eastAsia="黑体"/>
                <w:b/>
                <w:sz w:val="24"/>
              </w:rPr>
            </w:pPr>
            <w:r>
              <w:rPr>
                <w:rFonts w:hint="eastAsia" w:ascii="黑体" w:hAnsi="黑体" w:eastAsia="黑体"/>
                <w:b/>
                <w:sz w:val="24"/>
              </w:rPr>
              <w:t>技 术</w:t>
            </w:r>
          </w:p>
          <w:p>
            <w:pPr>
              <w:jc w:val="center"/>
              <w:rPr>
                <w:rFonts w:ascii="黑体" w:hAnsi="黑体" w:eastAsia="黑体"/>
                <w:b/>
                <w:sz w:val="24"/>
              </w:rPr>
            </w:pPr>
            <w:r>
              <w:rPr>
                <w:rFonts w:hint="eastAsia" w:ascii="黑体" w:hAnsi="黑体" w:eastAsia="黑体"/>
                <w:b/>
                <w:sz w:val="24"/>
              </w:rPr>
              <w:t>职 称</w:t>
            </w:r>
          </w:p>
        </w:tc>
        <w:tc>
          <w:tcPr>
            <w:tcW w:w="1035" w:type="dxa"/>
            <w:noWrap w:val="0"/>
            <w:vAlign w:val="center"/>
          </w:tcPr>
          <w:p>
            <w:pPr>
              <w:jc w:val="center"/>
              <w:rPr>
                <w:rFonts w:ascii="黑体" w:hAnsi="黑体" w:eastAsia="黑体"/>
                <w:b/>
                <w:sz w:val="24"/>
              </w:rPr>
            </w:pPr>
            <w:r>
              <w:rPr>
                <w:rFonts w:hint="eastAsia" w:ascii="黑体" w:hAnsi="黑体" w:eastAsia="黑体"/>
                <w:b/>
                <w:sz w:val="24"/>
              </w:rPr>
              <w:t>享受</w:t>
            </w:r>
          </w:p>
          <w:p>
            <w:pPr>
              <w:jc w:val="center"/>
              <w:rPr>
                <w:rFonts w:ascii="黑体" w:hAnsi="黑体" w:eastAsia="黑体"/>
                <w:b/>
                <w:sz w:val="24"/>
              </w:rPr>
            </w:pPr>
            <w:r>
              <w:rPr>
                <w:rFonts w:hint="eastAsia" w:ascii="黑体" w:hAnsi="黑体" w:eastAsia="黑体"/>
                <w:b/>
                <w:sz w:val="24"/>
              </w:rPr>
              <w:t>待遇</w:t>
            </w:r>
          </w:p>
        </w:tc>
        <w:tc>
          <w:tcPr>
            <w:tcW w:w="841" w:type="dxa"/>
            <w:noWrap w:val="0"/>
            <w:vAlign w:val="center"/>
          </w:tcPr>
          <w:p>
            <w:pPr>
              <w:jc w:val="center"/>
              <w:rPr>
                <w:rFonts w:ascii="黑体" w:hAnsi="黑体" w:eastAsia="黑体"/>
                <w:b/>
                <w:sz w:val="24"/>
              </w:rPr>
            </w:pPr>
            <w:r>
              <w:rPr>
                <w:rFonts w:hint="eastAsia" w:ascii="黑体" w:hAnsi="黑体" w:eastAsia="黑体"/>
                <w:b/>
                <w:sz w:val="24"/>
              </w:rPr>
              <w:t>享受待遇期限</w:t>
            </w:r>
          </w:p>
        </w:tc>
        <w:tc>
          <w:tcPr>
            <w:tcW w:w="2394" w:type="dxa"/>
            <w:noWrap w:val="0"/>
            <w:vAlign w:val="center"/>
          </w:tcPr>
          <w:p>
            <w:pPr>
              <w:jc w:val="center"/>
              <w:rPr>
                <w:rFonts w:ascii="黑体" w:hAnsi="黑体" w:eastAsia="黑体"/>
                <w:b/>
                <w:sz w:val="24"/>
              </w:rPr>
            </w:pPr>
            <w:r>
              <w:rPr>
                <w:rFonts w:hint="eastAsia" w:ascii="黑体" w:hAnsi="黑体" w:eastAsia="黑体"/>
                <w:b/>
                <w:sz w:val="24"/>
              </w:rPr>
              <w:t>身份证号码</w:t>
            </w:r>
          </w:p>
        </w:tc>
        <w:tc>
          <w:tcPr>
            <w:tcW w:w="1015" w:type="dxa"/>
            <w:noWrap w:val="0"/>
            <w:vAlign w:val="center"/>
          </w:tcPr>
          <w:p>
            <w:pPr>
              <w:jc w:val="center"/>
              <w:rPr>
                <w:rFonts w:ascii="黑体" w:hAnsi="黑体" w:eastAsia="黑体"/>
                <w:b/>
                <w:sz w:val="24"/>
              </w:rPr>
            </w:pPr>
            <w:r>
              <w:rPr>
                <w:rFonts w:hint="eastAsia" w:ascii="黑体" w:hAnsi="黑体" w:eastAsia="黑体"/>
                <w:b/>
                <w:sz w:val="24"/>
              </w:rPr>
              <w:t>原特约证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4" w:type="dxa"/>
            <w:noWrap w:val="0"/>
            <w:vAlign w:val="center"/>
          </w:tcPr>
          <w:p>
            <w:pPr>
              <w:jc w:val="center"/>
              <w:rPr>
                <w:rFonts w:ascii="仿宋_GB2312"/>
                <w:sz w:val="24"/>
              </w:rPr>
            </w:pPr>
            <w:r>
              <w:rPr>
                <w:rFonts w:hint="eastAsia" w:ascii="仿宋_GB2312"/>
                <w:sz w:val="24"/>
              </w:rPr>
              <w:t>1</w:t>
            </w:r>
          </w:p>
        </w:tc>
        <w:tc>
          <w:tcPr>
            <w:tcW w:w="925" w:type="dxa"/>
            <w:noWrap w:val="0"/>
            <w:vAlign w:val="center"/>
          </w:tcPr>
          <w:p>
            <w:pPr>
              <w:jc w:val="center"/>
              <w:rPr>
                <w:rFonts w:ascii="仿宋_GB2312"/>
                <w:sz w:val="24"/>
              </w:rPr>
            </w:pPr>
          </w:p>
        </w:tc>
        <w:tc>
          <w:tcPr>
            <w:tcW w:w="1002" w:type="dxa"/>
            <w:noWrap w:val="0"/>
            <w:vAlign w:val="center"/>
          </w:tcPr>
          <w:p>
            <w:pPr>
              <w:jc w:val="center"/>
              <w:rPr>
                <w:rFonts w:ascii="仿宋_GB2312"/>
                <w:sz w:val="24"/>
              </w:rPr>
            </w:pPr>
            <w:r>
              <w:rPr>
                <w:rFonts w:hint="eastAsia" w:ascii="仿宋_GB2312"/>
                <w:sz w:val="24"/>
              </w:rPr>
              <w:t>张三</w:t>
            </w:r>
          </w:p>
        </w:tc>
        <w:tc>
          <w:tcPr>
            <w:tcW w:w="536" w:type="dxa"/>
            <w:noWrap w:val="0"/>
            <w:vAlign w:val="center"/>
          </w:tcPr>
          <w:p>
            <w:pPr>
              <w:jc w:val="center"/>
              <w:rPr>
                <w:rFonts w:ascii="仿宋_GB2312"/>
                <w:sz w:val="24"/>
              </w:rPr>
            </w:pPr>
          </w:p>
        </w:tc>
        <w:tc>
          <w:tcPr>
            <w:tcW w:w="1070" w:type="dxa"/>
            <w:noWrap w:val="0"/>
            <w:vAlign w:val="center"/>
          </w:tcPr>
          <w:p>
            <w:pPr>
              <w:rPr>
                <w:rFonts w:ascii="仿宋_GB2312"/>
                <w:sz w:val="24"/>
              </w:rPr>
            </w:pPr>
            <w:r>
              <w:rPr>
                <w:rFonts w:hint="eastAsia" w:ascii="仿宋_GB2312"/>
                <w:sz w:val="24"/>
              </w:rPr>
              <w:t>1987.11</w:t>
            </w:r>
          </w:p>
        </w:tc>
        <w:tc>
          <w:tcPr>
            <w:tcW w:w="1070" w:type="dxa"/>
            <w:noWrap w:val="0"/>
            <w:vAlign w:val="center"/>
          </w:tcPr>
          <w:p>
            <w:pPr>
              <w:rPr>
                <w:rFonts w:ascii="仿宋_GB2312"/>
                <w:sz w:val="24"/>
              </w:rPr>
            </w:pPr>
          </w:p>
        </w:tc>
        <w:tc>
          <w:tcPr>
            <w:tcW w:w="2494" w:type="dxa"/>
            <w:noWrap w:val="0"/>
            <w:vAlign w:val="center"/>
          </w:tcPr>
          <w:p>
            <w:pPr>
              <w:rPr>
                <w:rFonts w:ascii="仿宋_GB2312"/>
                <w:sz w:val="24"/>
              </w:rPr>
            </w:pPr>
            <w:r>
              <w:rPr>
                <w:rFonts w:hint="eastAsia" w:ascii="仿宋_GB2312"/>
                <w:sz w:val="24"/>
              </w:rPr>
              <w:t>四川大学</w:t>
            </w:r>
          </w:p>
        </w:tc>
        <w:tc>
          <w:tcPr>
            <w:tcW w:w="992" w:type="dxa"/>
            <w:noWrap w:val="0"/>
            <w:vAlign w:val="center"/>
          </w:tcPr>
          <w:p>
            <w:pPr>
              <w:jc w:val="center"/>
              <w:rPr>
                <w:rFonts w:ascii="仿宋_GB2312"/>
                <w:sz w:val="24"/>
              </w:rPr>
            </w:pPr>
          </w:p>
        </w:tc>
        <w:tc>
          <w:tcPr>
            <w:tcW w:w="1060" w:type="dxa"/>
            <w:noWrap w:val="0"/>
            <w:vAlign w:val="center"/>
          </w:tcPr>
          <w:p>
            <w:pPr>
              <w:rPr>
                <w:rFonts w:ascii="仿宋_GB2312"/>
                <w:sz w:val="24"/>
              </w:rPr>
            </w:pPr>
            <w:r>
              <w:rPr>
                <w:rFonts w:hint="eastAsia" w:ascii="仿宋_GB2312"/>
                <w:sz w:val="24"/>
              </w:rPr>
              <w:t>特聘研究员</w:t>
            </w:r>
          </w:p>
        </w:tc>
        <w:tc>
          <w:tcPr>
            <w:tcW w:w="1035" w:type="dxa"/>
            <w:noWrap w:val="0"/>
            <w:vAlign w:val="center"/>
          </w:tcPr>
          <w:p>
            <w:pPr>
              <w:rPr>
                <w:rFonts w:ascii="仿宋_GB2312"/>
                <w:sz w:val="24"/>
              </w:rPr>
            </w:pPr>
            <w:r>
              <w:rPr>
                <w:rFonts w:hint="eastAsia" w:ascii="仿宋_GB2312"/>
                <w:sz w:val="24"/>
              </w:rPr>
              <w:t>第14批国千</w:t>
            </w:r>
          </w:p>
        </w:tc>
        <w:tc>
          <w:tcPr>
            <w:tcW w:w="841" w:type="dxa"/>
            <w:noWrap w:val="0"/>
            <w:vAlign w:val="center"/>
          </w:tcPr>
          <w:p>
            <w:pPr>
              <w:jc w:val="center"/>
              <w:rPr>
                <w:rFonts w:ascii="仿宋_GB2312"/>
                <w:sz w:val="24"/>
              </w:rPr>
            </w:pPr>
          </w:p>
        </w:tc>
        <w:tc>
          <w:tcPr>
            <w:tcW w:w="2394" w:type="dxa"/>
            <w:noWrap w:val="0"/>
            <w:vAlign w:val="center"/>
          </w:tcPr>
          <w:p>
            <w:pPr>
              <w:rPr>
                <w:rFonts w:ascii="仿宋_GB2312"/>
                <w:sz w:val="24"/>
              </w:rPr>
            </w:pPr>
          </w:p>
        </w:tc>
        <w:tc>
          <w:tcPr>
            <w:tcW w:w="1015" w:type="dxa"/>
            <w:noWrap w:val="0"/>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24" w:type="dxa"/>
            <w:noWrap w:val="0"/>
            <w:vAlign w:val="center"/>
          </w:tcPr>
          <w:p>
            <w:pPr>
              <w:jc w:val="center"/>
              <w:rPr>
                <w:rFonts w:ascii="仿宋_GB2312"/>
                <w:sz w:val="24"/>
              </w:rPr>
            </w:pPr>
          </w:p>
        </w:tc>
        <w:tc>
          <w:tcPr>
            <w:tcW w:w="925" w:type="dxa"/>
            <w:noWrap w:val="0"/>
            <w:vAlign w:val="center"/>
          </w:tcPr>
          <w:p>
            <w:pPr>
              <w:jc w:val="center"/>
              <w:rPr>
                <w:rFonts w:ascii="仿宋_GB2312"/>
                <w:sz w:val="24"/>
              </w:rPr>
            </w:pPr>
          </w:p>
        </w:tc>
        <w:tc>
          <w:tcPr>
            <w:tcW w:w="1002" w:type="dxa"/>
            <w:noWrap w:val="0"/>
            <w:vAlign w:val="center"/>
          </w:tcPr>
          <w:p>
            <w:pPr>
              <w:rPr>
                <w:sz w:val="22"/>
                <w:szCs w:val="22"/>
              </w:rPr>
            </w:pPr>
          </w:p>
        </w:tc>
        <w:tc>
          <w:tcPr>
            <w:tcW w:w="536" w:type="dxa"/>
            <w:noWrap w:val="0"/>
            <w:vAlign w:val="center"/>
          </w:tcPr>
          <w:p>
            <w:pPr>
              <w:jc w:val="center"/>
              <w:rPr>
                <w:rFonts w:ascii="仿宋_GB2312"/>
                <w:sz w:val="24"/>
              </w:rPr>
            </w:pPr>
          </w:p>
        </w:tc>
        <w:tc>
          <w:tcPr>
            <w:tcW w:w="1070" w:type="dxa"/>
            <w:noWrap w:val="0"/>
            <w:vAlign w:val="center"/>
          </w:tcPr>
          <w:p>
            <w:pPr>
              <w:rPr>
                <w:rFonts w:ascii="仿宋_GB2312"/>
                <w:sz w:val="22"/>
                <w:szCs w:val="22"/>
              </w:rPr>
            </w:pPr>
          </w:p>
        </w:tc>
        <w:tc>
          <w:tcPr>
            <w:tcW w:w="1070" w:type="dxa"/>
            <w:noWrap w:val="0"/>
            <w:vAlign w:val="center"/>
          </w:tcPr>
          <w:p>
            <w:pPr>
              <w:rPr>
                <w:rFonts w:ascii="仿宋_GB2312"/>
                <w:sz w:val="22"/>
                <w:szCs w:val="22"/>
              </w:rPr>
            </w:pPr>
          </w:p>
        </w:tc>
        <w:tc>
          <w:tcPr>
            <w:tcW w:w="2494" w:type="dxa"/>
            <w:noWrap w:val="0"/>
            <w:vAlign w:val="center"/>
          </w:tcPr>
          <w:p>
            <w:pPr>
              <w:rPr>
                <w:sz w:val="22"/>
                <w:szCs w:val="22"/>
              </w:rPr>
            </w:pPr>
          </w:p>
        </w:tc>
        <w:tc>
          <w:tcPr>
            <w:tcW w:w="992" w:type="dxa"/>
            <w:noWrap w:val="0"/>
            <w:vAlign w:val="center"/>
          </w:tcPr>
          <w:p>
            <w:pPr>
              <w:jc w:val="center"/>
              <w:rPr>
                <w:sz w:val="22"/>
                <w:szCs w:val="22"/>
              </w:rPr>
            </w:pPr>
          </w:p>
        </w:tc>
        <w:tc>
          <w:tcPr>
            <w:tcW w:w="1060" w:type="dxa"/>
            <w:noWrap w:val="0"/>
            <w:vAlign w:val="center"/>
          </w:tcPr>
          <w:p>
            <w:pPr>
              <w:rPr>
                <w:sz w:val="22"/>
                <w:szCs w:val="22"/>
              </w:rPr>
            </w:pPr>
          </w:p>
        </w:tc>
        <w:tc>
          <w:tcPr>
            <w:tcW w:w="1035" w:type="dxa"/>
            <w:noWrap w:val="0"/>
            <w:vAlign w:val="center"/>
          </w:tcPr>
          <w:p>
            <w:pPr>
              <w:rPr>
                <w:rFonts w:ascii="仿宋_GB2312"/>
                <w:sz w:val="24"/>
              </w:rPr>
            </w:pPr>
          </w:p>
        </w:tc>
        <w:tc>
          <w:tcPr>
            <w:tcW w:w="841" w:type="dxa"/>
            <w:noWrap w:val="0"/>
            <w:vAlign w:val="center"/>
          </w:tcPr>
          <w:p>
            <w:pPr>
              <w:jc w:val="center"/>
              <w:rPr>
                <w:sz w:val="22"/>
                <w:szCs w:val="22"/>
              </w:rPr>
            </w:pPr>
          </w:p>
        </w:tc>
        <w:tc>
          <w:tcPr>
            <w:tcW w:w="2394" w:type="dxa"/>
            <w:noWrap w:val="0"/>
            <w:vAlign w:val="center"/>
          </w:tcPr>
          <w:p>
            <w:pPr>
              <w:rPr>
                <w:rFonts w:ascii="仿宋_GB2312"/>
                <w:sz w:val="24"/>
              </w:rPr>
            </w:pPr>
          </w:p>
        </w:tc>
        <w:tc>
          <w:tcPr>
            <w:tcW w:w="1015" w:type="dxa"/>
            <w:noWrap w:val="0"/>
            <w:vAlign w:val="center"/>
          </w:tcPr>
          <w:p>
            <w:pPr>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524" w:type="dxa"/>
            <w:noWrap w:val="0"/>
            <w:vAlign w:val="center"/>
          </w:tcPr>
          <w:p>
            <w:pPr>
              <w:jc w:val="center"/>
              <w:rPr>
                <w:rFonts w:ascii="仿宋_GB2312"/>
                <w:sz w:val="24"/>
              </w:rPr>
            </w:pPr>
          </w:p>
        </w:tc>
        <w:tc>
          <w:tcPr>
            <w:tcW w:w="925" w:type="dxa"/>
            <w:noWrap w:val="0"/>
            <w:vAlign w:val="center"/>
          </w:tcPr>
          <w:p>
            <w:pPr>
              <w:jc w:val="center"/>
              <w:rPr>
                <w:rFonts w:ascii="仿宋_GB2312"/>
                <w:sz w:val="24"/>
              </w:rPr>
            </w:pPr>
          </w:p>
        </w:tc>
        <w:tc>
          <w:tcPr>
            <w:tcW w:w="1002" w:type="dxa"/>
            <w:noWrap w:val="0"/>
            <w:vAlign w:val="center"/>
          </w:tcPr>
          <w:p>
            <w:pPr>
              <w:rPr>
                <w:sz w:val="22"/>
                <w:szCs w:val="22"/>
              </w:rPr>
            </w:pPr>
          </w:p>
        </w:tc>
        <w:tc>
          <w:tcPr>
            <w:tcW w:w="536" w:type="dxa"/>
            <w:noWrap w:val="0"/>
            <w:vAlign w:val="center"/>
          </w:tcPr>
          <w:p>
            <w:pPr>
              <w:jc w:val="center"/>
              <w:rPr>
                <w:rFonts w:ascii="仿宋_GB2312"/>
                <w:sz w:val="24"/>
              </w:rPr>
            </w:pPr>
          </w:p>
        </w:tc>
        <w:tc>
          <w:tcPr>
            <w:tcW w:w="1070" w:type="dxa"/>
            <w:noWrap w:val="0"/>
            <w:vAlign w:val="center"/>
          </w:tcPr>
          <w:p>
            <w:pPr>
              <w:rPr>
                <w:rFonts w:ascii="仿宋_GB2312"/>
                <w:sz w:val="22"/>
                <w:szCs w:val="22"/>
              </w:rPr>
            </w:pPr>
          </w:p>
        </w:tc>
        <w:tc>
          <w:tcPr>
            <w:tcW w:w="1070" w:type="dxa"/>
            <w:noWrap w:val="0"/>
            <w:vAlign w:val="center"/>
          </w:tcPr>
          <w:p>
            <w:pPr>
              <w:rPr>
                <w:rFonts w:ascii="仿宋_GB2312"/>
                <w:sz w:val="22"/>
                <w:szCs w:val="22"/>
              </w:rPr>
            </w:pPr>
          </w:p>
        </w:tc>
        <w:tc>
          <w:tcPr>
            <w:tcW w:w="2494" w:type="dxa"/>
            <w:noWrap w:val="0"/>
            <w:vAlign w:val="center"/>
          </w:tcPr>
          <w:p>
            <w:pPr>
              <w:rPr>
                <w:sz w:val="22"/>
                <w:szCs w:val="22"/>
              </w:rPr>
            </w:pPr>
          </w:p>
        </w:tc>
        <w:tc>
          <w:tcPr>
            <w:tcW w:w="992" w:type="dxa"/>
            <w:noWrap w:val="0"/>
            <w:vAlign w:val="center"/>
          </w:tcPr>
          <w:p>
            <w:pPr>
              <w:jc w:val="center"/>
              <w:rPr>
                <w:sz w:val="22"/>
                <w:szCs w:val="22"/>
              </w:rPr>
            </w:pPr>
          </w:p>
        </w:tc>
        <w:tc>
          <w:tcPr>
            <w:tcW w:w="1060" w:type="dxa"/>
            <w:noWrap w:val="0"/>
            <w:vAlign w:val="center"/>
          </w:tcPr>
          <w:p>
            <w:pPr>
              <w:rPr>
                <w:sz w:val="22"/>
                <w:szCs w:val="22"/>
              </w:rPr>
            </w:pPr>
          </w:p>
        </w:tc>
        <w:tc>
          <w:tcPr>
            <w:tcW w:w="1035" w:type="dxa"/>
            <w:noWrap w:val="0"/>
            <w:vAlign w:val="center"/>
          </w:tcPr>
          <w:p>
            <w:pPr>
              <w:rPr>
                <w:rFonts w:ascii="仿宋_GB2312"/>
                <w:sz w:val="24"/>
              </w:rPr>
            </w:pPr>
          </w:p>
        </w:tc>
        <w:tc>
          <w:tcPr>
            <w:tcW w:w="841" w:type="dxa"/>
            <w:noWrap w:val="0"/>
            <w:vAlign w:val="center"/>
          </w:tcPr>
          <w:p>
            <w:pPr>
              <w:jc w:val="center"/>
              <w:rPr>
                <w:sz w:val="22"/>
                <w:szCs w:val="22"/>
              </w:rPr>
            </w:pPr>
          </w:p>
        </w:tc>
        <w:tc>
          <w:tcPr>
            <w:tcW w:w="2394" w:type="dxa"/>
            <w:noWrap w:val="0"/>
            <w:vAlign w:val="center"/>
          </w:tcPr>
          <w:p>
            <w:pPr>
              <w:rPr>
                <w:rFonts w:ascii="仿宋_GB2312"/>
                <w:sz w:val="24"/>
              </w:rPr>
            </w:pPr>
          </w:p>
        </w:tc>
        <w:tc>
          <w:tcPr>
            <w:tcW w:w="1015" w:type="dxa"/>
            <w:noWrap w:val="0"/>
            <w:vAlign w:val="center"/>
          </w:tcPr>
          <w:p>
            <w:pPr>
              <w:jc w:val="center"/>
              <w:rPr>
                <w:rFonts w:ascii="仿宋_GB2312"/>
                <w:sz w:val="24"/>
              </w:rPr>
            </w:pPr>
          </w:p>
        </w:tc>
      </w:tr>
    </w:tbl>
    <w:p>
      <w:pPr>
        <w:ind w:firstLine="718" w:firstLineChars="298"/>
        <w:rPr>
          <w:b/>
          <w:sz w:val="24"/>
        </w:rPr>
      </w:pPr>
      <w:r>
        <w:rPr>
          <w:rFonts w:hint="eastAsia"/>
          <w:b/>
          <w:sz w:val="24"/>
        </w:rPr>
        <w:t xml:space="preserve">负责人：                                填表人：                                 联系电话：            </w:t>
      </w:r>
    </w:p>
    <w:p>
      <w:pPr>
        <w:spacing w:line="360" w:lineRule="exact"/>
        <w:rPr>
          <w:sz w:val="24"/>
        </w:rPr>
      </w:pPr>
      <w:r>
        <w:rPr>
          <w:rFonts w:hint="eastAsia"/>
          <w:sz w:val="24"/>
        </w:rPr>
        <w:t>说明：1、本表填写要求字迹工整、清晰，内容准确、完整，同时准备纸质一寸标准照1张；</w:t>
      </w:r>
      <w:r>
        <w:rPr>
          <w:rFonts w:hint="eastAsia"/>
          <w:sz w:val="24"/>
        </w:rPr>
        <w:tab/>
      </w:r>
    </w:p>
    <w:p>
      <w:pPr>
        <w:spacing w:line="360" w:lineRule="exact"/>
        <w:ind w:left="557" w:leftChars="151" w:hanging="240" w:hangingChars="100"/>
      </w:pPr>
      <w:r>
        <w:rPr>
          <w:rFonts w:hint="eastAsia"/>
          <w:sz w:val="24"/>
        </w:rPr>
        <w:t xml:space="preserve">  2、新办证不填写“新特约证号”和“原特约证号”； 补办或换证填写“原特约证号”，换证需在提交材料时交回旧证；</w:t>
      </w:r>
      <w:r>
        <w:rPr>
          <w:rFonts w:hint="eastAsia"/>
          <w:sz w:val="24"/>
        </w:rPr>
        <w:tab/>
      </w:r>
      <w:r>
        <w:rPr>
          <w:rFonts w:hint="eastAsia"/>
          <w:sz w:val="24"/>
        </w:rPr>
        <w:t xml:space="preserve">                         3、“出生年月”和“参加工作时间”须具体到月份，“享受待遇”具体到某一批次“国千”或某一年“省千”；</w:t>
      </w:r>
      <w:r>
        <w:rPr>
          <w:rFonts w:hint="eastAsia"/>
          <w:sz w:val="24"/>
        </w:rPr>
        <w:tab/>
      </w:r>
      <w:r>
        <w:rPr>
          <w:rFonts w:hint="eastAsia"/>
          <w:sz w:val="24"/>
        </w:rPr>
        <w:tab/>
      </w:r>
      <w:r>
        <w:rPr>
          <w:rFonts w:hint="eastAsia"/>
          <w:sz w:val="24"/>
        </w:rPr>
        <w:tab/>
      </w:r>
      <w:r>
        <w:rPr>
          <w:rFonts w:hint="eastAsia"/>
          <w:sz w:val="24"/>
        </w:rPr>
        <w:t xml:space="preserve">       4、“享受待遇期限”不填；外籍人员在“身份证号码”栏填写本人所持最新护照号码。</w:t>
      </w:r>
    </w:p>
    <w:p>
      <w:pPr>
        <w:rPr>
          <w:rFonts w:ascii="微软雅黑" w:hAnsi="微软雅黑" w:eastAsia="微软雅黑" w:cs="微软雅黑"/>
          <w:color w:val="000000"/>
          <w:kern w:val="0"/>
          <w:sz w:val="24"/>
        </w:rPr>
        <w:sectPr>
          <w:headerReference r:id="rId3" w:type="default"/>
          <w:pgSz w:w="16838" w:h="11906" w:orient="landscape"/>
          <w:pgMar w:top="1800" w:right="1440" w:bottom="1800" w:left="1440" w:header="851" w:footer="992" w:gutter="0"/>
          <w:cols w:space="720" w:num="1"/>
          <w:docGrid w:type="lines" w:linePitch="312" w:charSpace="0"/>
        </w:sectPr>
      </w:pPr>
    </w:p>
    <w:p>
      <w:pPr>
        <w:rPr>
          <w:rFonts w:ascii="方正小标宋简体" w:hAnsi="Arial" w:eastAsia="方正小标宋简体" w:cs="Arial"/>
          <w:bCs/>
          <w:color w:val="656565"/>
          <w:kern w:val="0"/>
          <w:sz w:val="36"/>
          <w:szCs w:val="36"/>
        </w:rPr>
      </w:pPr>
      <w:r>
        <w:rPr>
          <w:rFonts w:ascii="方正小标宋简体" w:hAnsi="Arial" w:eastAsia="方正小标宋简体" w:cs="Arial"/>
          <w:bCs/>
          <w:color w:val="656565"/>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-9525</wp:posOffset>
                </wp:positionV>
                <wp:extent cx="770255" cy="1772285"/>
                <wp:effectExtent l="0" t="0" r="6985" b="10795"/>
                <wp:wrapNone/>
                <wp:docPr id="2" name="文本框 2"/>
                <wp:cNvGraphicFramePr/>
                <a:graphic xmlns:a="http://schemas.openxmlformats.org/drawingml/2006/main">
                  <a:graphicData uri="http://schemas.microsoft.com/office/word/2010/wordprocessingShape">
                    <wps:wsp>
                      <wps:cNvSpPr txBox="1"/>
                      <wps:spPr>
                        <a:xfrm>
                          <a:off x="0" y="0"/>
                          <a:ext cx="770255" cy="1772285"/>
                        </a:xfrm>
                        <a:prstGeom prst="rect">
                          <a:avLst/>
                        </a:prstGeom>
                        <a:solidFill>
                          <a:srgbClr val="FFFFFF"/>
                        </a:solidFill>
                        <a:ln>
                          <a:noFill/>
                        </a:ln>
                      </wps:spPr>
                      <wps:txbx>
                        <w:txbxContent>
                          <w:p>
                            <w:pPr>
                              <w:rPr>
                                <w:sz w:val="24"/>
                              </w:rPr>
                            </w:pPr>
                            <w:r>
                              <w:rPr>
                                <w:sz w:val="24"/>
                              </w:rPr>
                              <w:t>附件</w:t>
                            </w:r>
                            <w:r>
                              <w:rPr>
                                <w:rFonts w:hint="eastAsia"/>
                                <w:sz w:val="24"/>
                              </w:rPr>
                              <w:t>2</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0.9pt;margin-top:-0.75pt;height:139.55pt;width:60.65pt;z-index:251659264;mso-width-relative:page;mso-height-relative:margin;mso-height-percent:200;" fillcolor="#FFFFFF" filled="t" stroked="f" coordsize="21600,21600" o:gfxdata="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MgFlNcAAAAJAQAADwAAAAAAAAABACAAAAAiAAAAZHJzL2Rvd25yZXYueG1sUEsBAhQA&#10;FAAAAAgAh07iQPtaOhS6AQAAUQMAAA4AAAAAAAAAAQAgAAAAJgEAAGRycy9lMm9Eb2MueG1sUEsF&#10;BgAAAAAGAAYAWQEAAFIFAAAAAA==&#10;">
                <v:fill on="t" focussize="0,0"/>
                <v:stroke on="f"/>
                <v:imagedata o:title=""/>
                <o:lock v:ext="edit" aspectratio="f"/>
                <v:textbox style="mso-fit-shape-to-text:t;">
                  <w:txbxContent>
                    <w:p>
                      <w:pPr>
                        <w:rPr>
                          <w:sz w:val="24"/>
                        </w:rPr>
                      </w:pPr>
                      <w:r>
                        <w:rPr>
                          <w:sz w:val="24"/>
                        </w:rPr>
                        <w:t>附件</w:t>
                      </w:r>
                      <w:r>
                        <w:rPr>
                          <w:rFonts w:hint="eastAsia"/>
                          <w:sz w:val="24"/>
                        </w:rPr>
                        <w:t>2</w:t>
                      </w:r>
                    </w:p>
                  </w:txbxContent>
                </v:textbox>
              </v:shape>
            </w:pict>
          </mc:Fallback>
        </mc:AlternateContent>
      </w:r>
    </w:p>
    <w:p>
      <w:pPr>
        <w:widowControl/>
        <w:shd w:val="clear" w:color="auto" w:fill="FFFFFF"/>
        <w:spacing w:line="500" w:lineRule="exact"/>
        <w:jc w:val="center"/>
        <w:outlineLvl w:val="3"/>
        <w:rPr>
          <w:rFonts w:hint="eastAsia" w:ascii="方正小标宋简体" w:eastAsia="方正小标宋简体"/>
          <w:sz w:val="36"/>
          <w:szCs w:val="36"/>
        </w:rPr>
      </w:pPr>
      <w:r>
        <w:rPr>
          <w:rFonts w:hint="eastAsia" w:ascii="方正小标宋简体" w:eastAsia="方正小标宋简体"/>
          <w:sz w:val="36"/>
          <w:szCs w:val="36"/>
        </w:rPr>
        <w:t>四川省卫计委特约医疗证办理指南</w:t>
      </w:r>
    </w:p>
    <w:p>
      <w:pPr>
        <w:widowControl/>
        <w:shd w:val="clear" w:color="auto" w:fill="FFFFFF"/>
        <w:spacing w:line="440" w:lineRule="exact"/>
        <w:jc w:val="left"/>
        <w:outlineLvl w:val="3"/>
        <w:rPr>
          <w:sz w:val="24"/>
        </w:rPr>
      </w:pPr>
      <w:r>
        <w:rPr>
          <w:rFonts w:ascii="Arial" w:hAnsi="Arial" w:cs="Arial"/>
          <w:b/>
          <w:bCs/>
          <w:color w:val="656565"/>
          <w:kern w:val="0"/>
          <w:sz w:val="27"/>
          <w:szCs w:val="27"/>
        </w:rPr>
        <w:t>　　</w:t>
      </w:r>
      <w:r>
        <w:rPr>
          <w:sz w:val="24"/>
        </w:rPr>
        <w:t>一、依据</w:t>
      </w:r>
    </w:p>
    <w:p>
      <w:pPr>
        <w:widowControl/>
        <w:shd w:val="clear" w:color="auto" w:fill="FFFFFF"/>
        <w:spacing w:line="440" w:lineRule="exact"/>
        <w:jc w:val="left"/>
        <w:outlineLvl w:val="3"/>
        <w:rPr>
          <w:sz w:val="24"/>
        </w:rPr>
      </w:pPr>
      <w:r>
        <w:rPr>
          <w:sz w:val="24"/>
        </w:rPr>
        <w:t>　　（一）四川省卫生厅关于制发省及省属机关特约医疗证的范围和对象的暂行办法(川卫老发[1983]008号)</w:t>
      </w:r>
    </w:p>
    <w:p>
      <w:pPr>
        <w:widowControl/>
        <w:shd w:val="clear" w:color="auto" w:fill="FFFFFF"/>
        <w:spacing w:line="440" w:lineRule="exact"/>
        <w:jc w:val="left"/>
        <w:outlineLvl w:val="3"/>
        <w:rPr>
          <w:sz w:val="24"/>
        </w:rPr>
      </w:pPr>
      <w:r>
        <w:rPr>
          <w:sz w:val="24"/>
        </w:rPr>
        <w:t>　　（二）四川省委、省政府办公厅关于进一步改善在川中国科学院院士和中国工程学院院士工作和生活条件的意见（川委办[1999]67号）</w:t>
      </w:r>
    </w:p>
    <w:p>
      <w:pPr>
        <w:widowControl/>
        <w:shd w:val="clear" w:color="auto" w:fill="FFFFFF"/>
        <w:spacing w:line="440" w:lineRule="exact"/>
        <w:jc w:val="left"/>
        <w:outlineLvl w:val="3"/>
        <w:rPr>
          <w:sz w:val="24"/>
        </w:rPr>
      </w:pPr>
      <w:r>
        <w:rPr>
          <w:sz w:val="24"/>
        </w:rPr>
        <w:t>　　（三）四川省劳动保障厅、卫生厅、人事厅关于落实优秀专家医疗待遇的通知(川劳社办[2004]90号)</w:t>
      </w:r>
    </w:p>
    <w:p>
      <w:pPr>
        <w:widowControl/>
        <w:shd w:val="clear" w:color="auto" w:fill="FFFFFF"/>
        <w:spacing w:line="440" w:lineRule="exact"/>
        <w:jc w:val="left"/>
        <w:outlineLvl w:val="3"/>
        <w:rPr>
          <w:sz w:val="24"/>
        </w:rPr>
      </w:pPr>
      <w:r>
        <w:rPr>
          <w:sz w:val="24"/>
        </w:rPr>
        <w:t>　　（四）四川省委组织部、老干局、卫生厅、财政厅、劳动和社会保障厅关于省级机关和省属驻蓉企事业单位处级离休干部享受干部病房待遇的通知(川组通[2008]104号)</w:t>
      </w:r>
    </w:p>
    <w:p>
      <w:pPr>
        <w:widowControl/>
        <w:shd w:val="clear" w:color="auto" w:fill="FFFFFF"/>
        <w:spacing w:line="440" w:lineRule="exact"/>
        <w:jc w:val="left"/>
        <w:outlineLvl w:val="3"/>
        <w:rPr>
          <w:sz w:val="24"/>
        </w:rPr>
      </w:pPr>
      <w:r>
        <w:rPr>
          <w:sz w:val="24"/>
        </w:rPr>
        <w:t>　　（五）四川省干部保健委员会办公室关于做好市、州主要领导干部保健服务工作的通知(川干健发[2008]2号)</w:t>
      </w:r>
    </w:p>
    <w:p>
      <w:pPr>
        <w:widowControl/>
        <w:shd w:val="clear" w:color="auto" w:fill="FFFFFF"/>
        <w:spacing w:line="440" w:lineRule="exact"/>
        <w:jc w:val="left"/>
        <w:outlineLvl w:val="3"/>
        <w:rPr>
          <w:sz w:val="24"/>
        </w:rPr>
      </w:pPr>
      <w:r>
        <w:rPr>
          <w:sz w:val="24"/>
        </w:rPr>
        <w:t>　　（六）中央组织部等13部委局关于印发关于海外高层次引进人才享受特定生活待遇的若干规定的通知（组通[2008]58号）</w:t>
      </w:r>
    </w:p>
    <w:p>
      <w:pPr>
        <w:widowControl/>
        <w:shd w:val="clear" w:color="auto" w:fill="FFFFFF"/>
        <w:spacing w:line="440" w:lineRule="exact"/>
        <w:jc w:val="left"/>
        <w:outlineLvl w:val="3"/>
        <w:rPr>
          <w:sz w:val="24"/>
        </w:rPr>
      </w:pPr>
      <w:r>
        <w:rPr>
          <w:sz w:val="24"/>
        </w:rPr>
        <w:t>　　（七）中共四川省委组织部等18部厅局室关于印发四川省“百人计划”引进人才享受特定生活及工作待遇的若干政策规定(川组通[2009]57号)</w:t>
      </w:r>
    </w:p>
    <w:p>
      <w:pPr>
        <w:widowControl/>
        <w:shd w:val="clear" w:color="auto" w:fill="FFFFFF"/>
        <w:spacing w:line="440" w:lineRule="exact"/>
        <w:jc w:val="left"/>
        <w:outlineLvl w:val="3"/>
        <w:rPr>
          <w:sz w:val="24"/>
        </w:rPr>
      </w:pPr>
      <w:r>
        <w:rPr>
          <w:sz w:val="24"/>
        </w:rPr>
        <w:t>　　（八）中共四川省委组织部、财政厅、人保厅、卫生厅关于做好特殊一线岗位人才医疗保健工作的通知（川组通[2013]19号)</w:t>
      </w:r>
    </w:p>
    <w:p>
      <w:pPr>
        <w:widowControl/>
        <w:shd w:val="clear" w:color="auto" w:fill="FFFFFF"/>
        <w:spacing w:line="440" w:lineRule="exact"/>
        <w:jc w:val="left"/>
        <w:outlineLvl w:val="3"/>
        <w:rPr>
          <w:sz w:val="24"/>
        </w:rPr>
      </w:pPr>
      <w:r>
        <w:rPr>
          <w:sz w:val="24"/>
        </w:rPr>
        <w:t>　　二、申请条件</w:t>
      </w:r>
    </w:p>
    <w:p>
      <w:pPr>
        <w:widowControl/>
        <w:shd w:val="clear" w:color="auto" w:fill="FFFFFF"/>
        <w:spacing w:line="440" w:lineRule="exact"/>
        <w:jc w:val="left"/>
        <w:outlineLvl w:val="3"/>
        <w:rPr>
          <w:sz w:val="24"/>
        </w:rPr>
      </w:pPr>
      <w:r>
        <w:rPr>
          <w:sz w:val="24"/>
        </w:rPr>
        <w:t>　　（一）省级机关、省属事业单位在职、退休副厅(局)级以上干部；</w:t>
      </w:r>
    </w:p>
    <w:p>
      <w:pPr>
        <w:widowControl/>
        <w:shd w:val="clear" w:color="auto" w:fill="FFFFFF"/>
        <w:spacing w:line="440" w:lineRule="exact"/>
        <w:jc w:val="left"/>
        <w:outlineLvl w:val="3"/>
        <w:rPr>
          <w:sz w:val="24"/>
        </w:rPr>
      </w:pPr>
      <w:r>
        <w:rPr>
          <w:sz w:val="24"/>
        </w:rPr>
        <w:t>　　（二）在川两院院士；</w:t>
      </w:r>
    </w:p>
    <w:p>
      <w:pPr>
        <w:widowControl/>
        <w:shd w:val="clear" w:color="auto" w:fill="FFFFFF"/>
        <w:spacing w:line="440" w:lineRule="exact"/>
        <w:jc w:val="left"/>
        <w:outlineLvl w:val="3"/>
        <w:rPr>
          <w:sz w:val="24"/>
        </w:rPr>
      </w:pPr>
      <w:r>
        <w:rPr>
          <w:sz w:val="24"/>
        </w:rPr>
        <w:t>　　（三）省级机关、省属驻蓉企、事业单位处级以上离休干部；</w:t>
      </w:r>
    </w:p>
    <w:p>
      <w:pPr>
        <w:widowControl/>
        <w:shd w:val="clear" w:color="auto" w:fill="FFFFFF"/>
        <w:spacing w:line="440" w:lineRule="exact"/>
        <w:jc w:val="left"/>
        <w:outlineLvl w:val="3"/>
        <w:rPr>
          <w:sz w:val="24"/>
        </w:rPr>
      </w:pPr>
      <w:r>
        <w:rPr>
          <w:sz w:val="24"/>
        </w:rPr>
        <w:t>　　（四）各市、州党委、人大、政府、政协在职一把手领导，三州在职、离休副厅以上干部；</w:t>
      </w:r>
    </w:p>
    <w:p>
      <w:pPr>
        <w:widowControl/>
        <w:shd w:val="clear" w:color="auto" w:fill="FFFFFF"/>
        <w:spacing w:line="440" w:lineRule="exact"/>
        <w:jc w:val="left"/>
        <w:outlineLvl w:val="3"/>
        <w:rPr>
          <w:sz w:val="24"/>
        </w:rPr>
      </w:pPr>
      <w:r>
        <w:rPr>
          <w:sz w:val="24"/>
        </w:rPr>
        <w:t>　　（五）西藏自治区在职省级、在蓉安置的离退休厅级以上干部；</w:t>
      </w:r>
    </w:p>
    <w:p>
      <w:pPr>
        <w:widowControl/>
        <w:shd w:val="clear" w:color="auto" w:fill="FFFFFF"/>
        <w:spacing w:line="440" w:lineRule="exact"/>
        <w:jc w:val="left"/>
        <w:outlineLvl w:val="3"/>
        <w:rPr>
          <w:sz w:val="24"/>
        </w:rPr>
      </w:pPr>
      <w:r>
        <w:rPr>
          <w:sz w:val="24"/>
        </w:rPr>
        <w:t>　　（六）中央驻蓉机关、事业单位在职、退休副厅级以上，离休处级以上干部；</w:t>
      </w:r>
    </w:p>
    <w:p>
      <w:pPr>
        <w:widowControl/>
        <w:shd w:val="clear" w:color="auto" w:fill="FFFFFF"/>
        <w:spacing w:line="440" w:lineRule="exact"/>
        <w:jc w:val="left"/>
        <w:outlineLvl w:val="3"/>
        <w:rPr>
          <w:sz w:val="24"/>
        </w:rPr>
      </w:pPr>
      <w:r>
        <w:rPr>
          <w:sz w:val="24"/>
        </w:rPr>
        <w:t>　　（七）省属事业单位1985年底前获得高级技术职称的专业技术人员；</w:t>
      </w:r>
    </w:p>
    <w:p>
      <w:pPr>
        <w:widowControl/>
        <w:shd w:val="clear" w:color="auto" w:fill="FFFFFF"/>
        <w:spacing w:line="440" w:lineRule="exact"/>
        <w:jc w:val="left"/>
        <w:outlineLvl w:val="3"/>
        <w:rPr>
          <w:sz w:val="24"/>
        </w:rPr>
      </w:pPr>
      <w:r>
        <w:rPr>
          <w:sz w:val="24"/>
        </w:rPr>
        <w:t>　　（八）国家和四川省有突出贡献专家、四川省批准的学术带头人；</w:t>
      </w:r>
    </w:p>
    <w:p>
      <w:pPr>
        <w:widowControl/>
        <w:shd w:val="clear" w:color="auto" w:fill="FFFFFF"/>
        <w:spacing w:line="440" w:lineRule="exact"/>
        <w:jc w:val="left"/>
        <w:outlineLvl w:val="3"/>
        <w:rPr>
          <w:sz w:val="24"/>
        </w:rPr>
      </w:pPr>
      <w:r>
        <w:rPr>
          <w:sz w:val="24"/>
        </w:rPr>
        <w:t>　　（九）国家“千人计划”、四川省“百人计划”和“千人计划”引进人才。</w:t>
      </w:r>
    </w:p>
    <w:p>
      <w:pPr>
        <w:widowControl/>
        <w:shd w:val="clear" w:color="auto" w:fill="FFFFFF"/>
        <w:spacing w:line="440" w:lineRule="exact"/>
        <w:jc w:val="left"/>
        <w:outlineLvl w:val="3"/>
        <w:rPr>
          <w:sz w:val="24"/>
        </w:rPr>
      </w:pPr>
      <w:r>
        <w:rPr>
          <w:sz w:val="24"/>
        </w:rPr>
        <w:t>　　（十）省委组织部认定的特殊一线岗位人才。</w:t>
      </w:r>
    </w:p>
    <w:p>
      <w:pPr>
        <w:widowControl/>
        <w:shd w:val="clear" w:color="auto" w:fill="FFFFFF"/>
        <w:spacing w:line="440" w:lineRule="exact"/>
        <w:jc w:val="left"/>
        <w:outlineLvl w:val="3"/>
        <w:rPr>
          <w:sz w:val="24"/>
        </w:rPr>
      </w:pPr>
      <w:r>
        <w:rPr>
          <w:sz w:val="24"/>
        </w:rPr>
        <w:t>　　三、申报资料</w:t>
      </w:r>
    </w:p>
    <w:p>
      <w:pPr>
        <w:widowControl/>
        <w:shd w:val="clear" w:color="auto" w:fill="FFFFFF"/>
        <w:spacing w:line="440" w:lineRule="exact"/>
        <w:jc w:val="left"/>
        <w:outlineLvl w:val="3"/>
        <w:rPr>
          <w:sz w:val="24"/>
        </w:rPr>
      </w:pPr>
      <w:r>
        <w:rPr>
          <w:sz w:val="24"/>
        </w:rPr>
        <w:t>　　（一）《办理特约医疗证人员登记表》原件一份。</w:t>
      </w:r>
    </w:p>
    <w:p>
      <w:pPr>
        <w:widowControl/>
        <w:shd w:val="clear" w:color="auto" w:fill="FFFFFF"/>
        <w:spacing w:line="440" w:lineRule="exact"/>
        <w:jc w:val="left"/>
        <w:outlineLvl w:val="3"/>
        <w:rPr>
          <w:sz w:val="24"/>
        </w:rPr>
      </w:pPr>
      <w:r>
        <w:rPr>
          <w:sz w:val="24"/>
        </w:rPr>
        <w:t>　　（二）申请人身份证复印件。</w:t>
      </w:r>
    </w:p>
    <w:p>
      <w:pPr>
        <w:widowControl/>
        <w:shd w:val="clear" w:color="auto" w:fill="FFFFFF"/>
        <w:spacing w:line="440" w:lineRule="exact"/>
        <w:jc w:val="left"/>
        <w:outlineLvl w:val="3"/>
        <w:rPr>
          <w:sz w:val="24"/>
        </w:rPr>
      </w:pPr>
      <w:r>
        <w:rPr>
          <w:sz w:val="24"/>
        </w:rPr>
        <w:t>　　（三）申请人相关证明材料：</w:t>
      </w:r>
    </w:p>
    <w:p>
      <w:pPr>
        <w:widowControl/>
        <w:shd w:val="clear" w:color="auto" w:fill="FFFFFF"/>
        <w:spacing w:line="440" w:lineRule="exact"/>
        <w:jc w:val="left"/>
        <w:outlineLvl w:val="3"/>
        <w:rPr>
          <w:sz w:val="24"/>
        </w:rPr>
      </w:pPr>
      <w:r>
        <w:rPr>
          <w:sz w:val="24"/>
        </w:rPr>
        <w:t>　　1、离休干部提交《离休证》原件和复印件；</w:t>
      </w:r>
    </w:p>
    <w:p>
      <w:pPr>
        <w:widowControl/>
        <w:shd w:val="clear" w:color="auto" w:fill="FFFFFF"/>
        <w:spacing w:line="440" w:lineRule="exact"/>
        <w:jc w:val="left"/>
        <w:outlineLvl w:val="3"/>
        <w:rPr>
          <w:sz w:val="24"/>
        </w:rPr>
      </w:pPr>
      <w:r>
        <w:rPr>
          <w:sz w:val="24"/>
        </w:rPr>
        <w:t>　　2、厅级以上领导提交组织、人事部门的任命或享受待遇等文件复印件；</w:t>
      </w:r>
    </w:p>
    <w:p>
      <w:pPr>
        <w:widowControl/>
        <w:shd w:val="clear" w:color="auto" w:fill="FFFFFF"/>
        <w:spacing w:line="440" w:lineRule="exact"/>
        <w:jc w:val="left"/>
        <w:outlineLvl w:val="3"/>
        <w:rPr>
          <w:sz w:val="24"/>
        </w:rPr>
      </w:pPr>
      <w:r>
        <w:rPr>
          <w:sz w:val="24"/>
        </w:rPr>
        <w:t>　　3、院士提供批准文件复印件；</w:t>
      </w:r>
    </w:p>
    <w:p>
      <w:pPr>
        <w:widowControl/>
        <w:shd w:val="clear" w:color="auto" w:fill="FFFFFF"/>
        <w:spacing w:line="440" w:lineRule="exact"/>
        <w:jc w:val="left"/>
        <w:outlineLvl w:val="3"/>
        <w:rPr>
          <w:sz w:val="24"/>
        </w:rPr>
      </w:pPr>
      <w:r>
        <w:rPr>
          <w:sz w:val="24"/>
        </w:rPr>
        <w:t>　　4、1985年底以前获得高级技术职称的技术人员提交职称证书原件、复印件；</w:t>
      </w:r>
    </w:p>
    <w:p>
      <w:pPr>
        <w:widowControl/>
        <w:shd w:val="clear" w:color="auto" w:fill="FFFFFF"/>
        <w:spacing w:line="440" w:lineRule="exact"/>
        <w:jc w:val="left"/>
        <w:outlineLvl w:val="3"/>
        <w:rPr>
          <w:sz w:val="24"/>
        </w:rPr>
      </w:pPr>
      <w:r>
        <w:rPr>
          <w:sz w:val="24"/>
        </w:rPr>
        <w:t>　　5、享受国家或省级突出贡献专家、省学术带头人、千人和百人计划引进人才、特殊一线岗位人才的专家，提供相关证书原件、批准文件复印件。</w:t>
      </w:r>
    </w:p>
    <w:p>
      <w:pPr>
        <w:widowControl/>
        <w:shd w:val="clear" w:color="auto" w:fill="FFFFFF"/>
        <w:spacing w:line="440" w:lineRule="exact"/>
        <w:jc w:val="left"/>
        <w:outlineLvl w:val="3"/>
        <w:rPr>
          <w:sz w:val="24"/>
        </w:rPr>
      </w:pPr>
      <w:r>
        <w:rPr>
          <w:sz w:val="24"/>
        </w:rPr>
        <w:t>　　（四）申请人所属单位相关资质证明材料复印件。</w:t>
      </w:r>
    </w:p>
    <w:p>
      <w:pPr>
        <w:widowControl/>
        <w:shd w:val="clear" w:color="auto" w:fill="FFFFFF"/>
        <w:spacing w:line="440" w:lineRule="exact"/>
        <w:jc w:val="left"/>
        <w:outlineLvl w:val="3"/>
        <w:rPr>
          <w:sz w:val="24"/>
        </w:rPr>
      </w:pPr>
      <w:r>
        <w:rPr>
          <w:sz w:val="24"/>
        </w:rPr>
        <w:t>　　（五）一</w:t>
      </w:r>
      <w:r>
        <w:rPr>
          <w:rFonts w:hint="eastAsia"/>
          <w:sz w:val="24"/>
        </w:rPr>
        <w:t>寸</w:t>
      </w:r>
      <w:r>
        <w:rPr>
          <w:sz w:val="24"/>
        </w:rPr>
        <w:t>免冠彩色近照1张。</w:t>
      </w:r>
    </w:p>
    <w:p>
      <w:pPr>
        <w:widowControl/>
        <w:shd w:val="clear" w:color="auto" w:fill="FFFFFF"/>
        <w:spacing w:line="440" w:lineRule="exact"/>
        <w:jc w:val="left"/>
        <w:outlineLvl w:val="3"/>
        <w:rPr>
          <w:sz w:val="24"/>
        </w:rPr>
      </w:pPr>
      <w:r>
        <w:rPr>
          <w:sz w:val="24"/>
        </w:rPr>
        <w:t>　　四、办理程序和时限</w:t>
      </w:r>
    </w:p>
    <w:p>
      <w:pPr>
        <w:widowControl/>
        <w:shd w:val="clear" w:color="auto" w:fill="FFFFFF"/>
        <w:spacing w:line="440" w:lineRule="exact"/>
        <w:ind w:firstLine="542"/>
        <w:jc w:val="left"/>
        <w:outlineLvl w:val="3"/>
        <w:rPr>
          <w:sz w:val="24"/>
        </w:rPr>
      </w:pPr>
      <w:r>
        <w:rPr>
          <w:sz w:val="24"/>
        </w:rPr>
        <w:t>（一）申请人所在单位人事部门填写《办理特约医疗证人员登记表》，经单位同意盖章后，连同其它申报材料一起递交到省卫计委保健处</w:t>
      </w:r>
      <w:r>
        <w:rPr>
          <w:rFonts w:hint="eastAsia"/>
          <w:sz w:val="24"/>
        </w:rPr>
        <w:t>（付老师：86139385，卫计委主楼502,）</w:t>
      </w:r>
      <w:r>
        <w:rPr>
          <w:sz w:val="24"/>
        </w:rPr>
        <w:t>，受理时间为每周三全天。</w:t>
      </w:r>
      <w:r>
        <w:rPr>
          <w:rFonts w:hint="eastAsia"/>
          <w:sz w:val="24"/>
        </w:rPr>
        <w:t>省千由省专家服务中心李忠桥负责。</w:t>
      </w:r>
    </w:p>
    <w:p>
      <w:pPr>
        <w:widowControl/>
        <w:shd w:val="clear" w:color="auto" w:fill="FFFFFF"/>
        <w:spacing w:line="440" w:lineRule="exact"/>
        <w:jc w:val="left"/>
        <w:outlineLvl w:val="3"/>
        <w:rPr>
          <w:sz w:val="24"/>
        </w:rPr>
      </w:pPr>
      <w:r>
        <w:rPr>
          <w:sz w:val="24"/>
        </w:rPr>
        <w:t>　　（二）工作人员对提交的资料进行审核并出具审核意见，经部门负责人审批，作出是否批准的决定。</w:t>
      </w:r>
    </w:p>
    <w:p>
      <w:pPr>
        <w:widowControl/>
        <w:shd w:val="clear" w:color="auto" w:fill="FFFFFF"/>
        <w:spacing w:line="500" w:lineRule="exact"/>
        <w:outlineLvl w:val="3"/>
        <w:rPr>
          <w:sz w:val="24"/>
        </w:rPr>
      </w:pPr>
      <w:r>
        <w:rPr>
          <w:sz w:val="24"/>
        </w:rPr>
        <w:t>　　（三）办理特约医疗证规定时限为7个工作日。</w:t>
      </w:r>
    </w:p>
    <w:p>
      <w:pPr>
        <w:widowControl/>
        <w:rPr>
          <w:rFonts w:hint="eastAsia" w:ascii="微软雅黑" w:hAnsi="微软雅黑" w:eastAsia="微软雅黑" w:cs="微软雅黑"/>
          <w:color w:val="000000"/>
          <w:kern w:val="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60"/>
    <w:rsid w:val="0001269B"/>
    <w:rsid w:val="00027EE1"/>
    <w:rsid w:val="00074246"/>
    <w:rsid w:val="000A34B9"/>
    <w:rsid w:val="000C70EF"/>
    <w:rsid w:val="000F3060"/>
    <w:rsid w:val="00203FDE"/>
    <w:rsid w:val="00275C0C"/>
    <w:rsid w:val="002C4DD7"/>
    <w:rsid w:val="0030424C"/>
    <w:rsid w:val="003164BA"/>
    <w:rsid w:val="003B56AF"/>
    <w:rsid w:val="003D11DC"/>
    <w:rsid w:val="004054D3"/>
    <w:rsid w:val="004172F8"/>
    <w:rsid w:val="00467774"/>
    <w:rsid w:val="004A3C2F"/>
    <w:rsid w:val="004E6186"/>
    <w:rsid w:val="004F395F"/>
    <w:rsid w:val="00571ABE"/>
    <w:rsid w:val="005E57B8"/>
    <w:rsid w:val="00600B54"/>
    <w:rsid w:val="00662985"/>
    <w:rsid w:val="00665BAA"/>
    <w:rsid w:val="008344ED"/>
    <w:rsid w:val="008609B4"/>
    <w:rsid w:val="008A0B24"/>
    <w:rsid w:val="008F3477"/>
    <w:rsid w:val="009732E3"/>
    <w:rsid w:val="00976BA2"/>
    <w:rsid w:val="009A64C3"/>
    <w:rsid w:val="00A2692E"/>
    <w:rsid w:val="00AE0F1B"/>
    <w:rsid w:val="00B53D18"/>
    <w:rsid w:val="00B638D5"/>
    <w:rsid w:val="00BC71B1"/>
    <w:rsid w:val="00E34497"/>
    <w:rsid w:val="00EE27FF"/>
    <w:rsid w:val="00F26C45"/>
    <w:rsid w:val="00FE0AED"/>
    <w:rsid w:val="0E132365"/>
    <w:rsid w:val="21C20777"/>
    <w:rsid w:val="33C74CDF"/>
    <w:rsid w:val="40F20D23"/>
    <w:rsid w:val="477B03DD"/>
    <w:rsid w:val="479C50BD"/>
    <w:rsid w:val="506F7CA9"/>
    <w:rsid w:val="549E1D9E"/>
    <w:rsid w:val="57E073F6"/>
    <w:rsid w:val="5FFD550F"/>
    <w:rsid w:val="639D2535"/>
    <w:rsid w:val="72031B8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szCs w:val="22"/>
    </w:rPr>
  </w:style>
  <w:style w:type="paragraph" w:styleId="3">
    <w:name w:val="Balloon Text"/>
    <w:basedOn w:val="1"/>
    <w:link w:val="9"/>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批注框文本 Char"/>
    <w:link w:val="3"/>
    <w:uiPriority w:val="0"/>
    <w:rPr>
      <w:kern w:val="2"/>
      <w:sz w:val="18"/>
      <w:szCs w:val="18"/>
    </w:rPr>
  </w:style>
  <w:style w:type="character" w:customStyle="1" w:styleId="10">
    <w:name w:val="纯文本 Char1"/>
    <w:link w:val="2"/>
    <w:uiPriority w:val="0"/>
    <w:rPr>
      <w:rFonts w:ascii="宋体" w:hAnsi="Courier New"/>
      <w:kern w:val="2"/>
      <w:sz w:val="21"/>
      <w:szCs w:val="22"/>
    </w:rPr>
  </w:style>
  <w:style w:type="character" w:customStyle="1" w:styleId="11">
    <w:name w:val="纯文本 Char"/>
    <w:qFormat/>
    <w:uiPriority w:val="0"/>
    <w:rPr>
      <w:rFonts w:ascii="宋体" w:hAnsi="Courier New" w:cs="Courier New"/>
      <w:kern w:val="2"/>
      <w:sz w:val="21"/>
      <w:szCs w:val="21"/>
    </w:rPr>
  </w:style>
  <w:style w:type="character" w:customStyle="1" w:styleId="12">
    <w:name w:val="页眉 Char"/>
    <w:link w:val="5"/>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384</Words>
  <Characters>2192</Characters>
  <Lines>18</Lines>
  <Paragraphs>5</Paragraphs>
  <TotalTime>55</TotalTime>
  <ScaleCrop>false</ScaleCrop>
  <LinksUpToDate>false</LinksUpToDate>
  <CharactersWithSpaces>2571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2020-02-23T12:14:00Z</dcterms:created>
  <dc:creator>lenovo</dc:creator>
  <cp:lastModifiedBy>王紫燕</cp:lastModifiedBy>
  <dcterms:modified xsi:type="dcterms:W3CDTF">2020-04-03T05:07:57Z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