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青年骨干教师教学能力提升高级研修班课程安排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3689"/>
        <w:gridCol w:w="11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36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主题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计划学时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b/>
              </w:rPr>
              <w:t>主讲</w:t>
            </w:r>
            <w:r>
              <w:rPr>
                <w:rFonts w:hint="eastAsia"/>
                <w:b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12月5日（周六）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以学生为中心的教学设计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梁竹梅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12月6日（周日）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以学生为中心的教学:主动学习策略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梁竹梅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12月12日（周六）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学习动机：4种因素和33条策略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12月13日（周日）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教师能力与教师发展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郭晓奎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12月19日（周六）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课程思政的实践应用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12月20日（周日）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课堂教学法：讲授与演讲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12月26日（周六）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课堂教学法：课堂提问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12月27日（周日）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学习效果评估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邱意弘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1月2日（周六）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如何设计考试题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邱意弘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1月3日（周日）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课堂教学法：小组讨论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邢磊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1月9日（周六）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游戏教学法促进学生的深度学习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王力娟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1月10日（周日）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教学发展中心与我的黄金分割教学模式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董占海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1月16日（周六）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课程设计与整合课程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钮晓音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1月17日（周日）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混合式金课建设的实践与思考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1月23日（周六）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教学研究的选题和方案设计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王力娟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4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1月24日（周日）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10:00-11:30</w:t>
            </w:r>
          </w:p>
        </w:tc>
        <w:tc>
          <w:tcPr>
            <w:tcW w:w="36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问卷设计的方法和原则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2学时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王力娟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宋体" w:cs="Times New Roman"/>
          <w:i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  <w:t>以上课程安排可能因为授课教师和学员等因素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  <w:t>做出调整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2020-11-24T09:20:01Z</dcterms:created>
  <dc:creator>123456</dc:creator>
  <cp:lastModifiedBy>反光</cp:lastModifiedBy>
  <dcterms:modified xsi:type="dcterms:W3CDTF">2020-11-24T09:20:07Z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