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关于</w:t>
      </w:r>
      <w:r>
        <w:rPr>
          <w:rFonts w:hint="eastAsia" w:ascii="方正小标宋简体" w:hAnsi="方正大标宋简体" w:eastAsia="方正小标宋简体" w:cs="方正大标宋简体"/>
          <w:sz w:val="44"/>
          <w:szCs w:val="44"/>
          <w:lang w:val="en-US" w:eastAsia="zh-CN"/>
        </w:rPr>
        <w:t>选拔</w:t>
      </w:r>
      <w:r>
        <w:rPr>
          <w:rFonts w:hint="eastAsia" w:ascii="方正小标宋简体" w:hAnsi="方正大标宋简体" w:eastAsia="方正小标宋简体" w:cs="方正大标宋简体"/>
          <w:sz w:val="44"/>
          <w:szCs w:val="44"/>
        </w:rPr>
        <w:t>优秀青年教师参加第</w:t>
      </w:r>
      <w:r>
        <w:rPr>
          <w:rFonts w:hint="eastAsia" w:ascii="方正小标宋简体" w:hAnsi="方正大标宋简体" w:eastAsia="方正小标宋简体" w:cs="方正大标宋简体"/>
          <w:sz w:val="44"/>
          <w:szCs w:val="44"/>
          <w:lang w:eastAsia="zh-CN"/>
        </w:rPr>
        <w:t>五</w:t>
      </w:r>
      <w:r>
        <w:rPr>
          <w:rFonts w:hint="eastAsia" w:ascii="方正小标宋简体" w:hAnsi="方正大标宋简体" w:eastAsia="方正小标宋简体" w:cs="方正大标宋简体"/>
          <w:sz w:val="44"/>
          <w:szCs w:val="44"/>
        </w:rPr>
        <w:t>届</w:t>
      </w:r>
    </w:p>
    <w:p>
      <w:pPr>
        <w:spacing w:line="56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四川省高校青年教师教学竞赛的通知</w:t>
      </w:r>
    </w:p>
    <w:p>
      <w:pPr>
        <w:spacing w:line="560" w:lineRule="exact"/>
        <w:jc w:val="center"/>
        <w:rPr>
          <w:rFonts w:ascii="方正大标宋简体" w:hAnsi="方正大标宋简体" w:eastAsia="方正大标宋简体" w:cs="方正大标宋简体"/>
          <w:sz w:val="44"/>
          <w:szCs w:val="44"/>
        </w:rPr>
      </w:pPr>
    </w:p>
    <w:p>
      <w:pPr>
        <w:spacing w:line="560" w:lineRule="exact"/>
        <w:rPr>
          <w:rFonts w:ascii="方正黑体简体" w:hAnsi="仿宋_GB2312" w:eastAsia="方正黑体简体" w:cs="仿宋_GB2312"/>
          <w:sz w:val="32"/>
          <w:szCs w:val="32"/>
        </w:rPr>
      </w:pPr>
      <w:bookmarkStart w:id="0" w:name="_GoBack"/>
      <w:bookmarkEnd w:id="0"/>
      <w:r>
        <w:rPr>
          <w:rFonts w:hint="eastAsia" w:ascii="方正黑体简体" w:hAnsi="仿宋_GB2312" w:eastAsia="方正黑体简体" w:cs="仿宋_GB2312"/>
          <w:sz w:val="32"/>
          <w:szCs w:val="32"/>
        </w:rPr>
        <w:t>附件</w:t>
      </w:r>
      <w:r>
        <w:rPr>
          <w:rFonts w:hint="eastAsia" w:ascii="方正黑体简体" w:hAnsi="仿宋_GB2312" w:eastAsia="方正黑体简体" w:cs="仿宋_GB2312"/>
          <w:sz w:val="32"/>
          <w:szCs w:val="32"/>
          <w:lang w:eastAsia="zh-CN"/>
        </w:rPr>
        <w:t>一</w:t>
      </w:r>
      <w:r>
        <w:rPr>
          <w:rFonts w:hint="eastAsia" w:ascii="方正黑体简体" w:hAnsi="仿宋_GB2312" w:eastAsia="方正黑体简体" w:cs="仿宋_GB2312"/>
          <w:sz w:val="32"/>
          <w:szCs w:val="32"/>
        </w:rPr>
        <w:t>：</w:t>
      </w:r>
    </w:p>
    <w:p>
      <w:pPr>
        <w:spacing w:line="560" w:lineRule="exact"/>
      </w:pP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第</w:t>
      </w:r>
      <w:r>
        <w:rPr>
          <w:rFonts w:hint="eastAsia" w:ascii="方正大标宋简体" w:hAnsi="方正大标宋简体" w:eastAsia="方正大标宋简体" w:cs="方正大标宋简体"/>
          <w:sz w:val="44"/>
          <w:szCs w:val="44"/>
          <w:lang w:eastAsia="zh-CN"/>
        </w:rPr>
        <w:t>五</w:t>
      </w:r>
      <w:r>
        <w:rPr>
          <w:rFonts w:hint="eastAsia" w:ascii="方正大标宋简体" w:hAnsi="方正大标宋简体" w:eastAsia="方正大标宋简体" w:cs="方正大标宋简体"/>
          <w:sz w:val="44"/>
          <w:szCs w:val="44"/>
        </w:rPr>
        <w:t>届四川省高校青年教师教学竞赛</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校内选拔赛</w:t>
      </w:r>
      <w:r>
        <w:rPr>
          <w:rFonts w:hint="eastAsia" w:ascii="方正大标宋简体" w:hAnsi="方正大标宋简体" w:eastAsia="方正大标宋简体" w:cs="方正大标宋简体"/>
          <w:sz w:val="44"/>
          <w:szCs w:val="44"/>
        </w:rPr>
        <w:t>推荐表</w:t>
      </w:r>
    </w:p>
    <w:tbl>
      <w:tblPr>
        <w:tblStyle w:val="4"/>
        <w:tblW w:w="8840" w:type="dxa"/>
        <w:tblInd w:w="108" w:type="dxa"/>
        <w:tblLayout w:type="fixed"/>
        <w:tblCellMar>
          <w:top w:w="0" w:type="dxa"/>
          <w:left w:w="108" w:type="dxa"/>
          <w:bottom w:w="0" w:type="dxa"/>
          <w:right w:w="108" w:type="dxa"/>
        </w:tblCellMar>
      </w:tblPr>
      <w:tblGrid>
        <w:gridCol w:w="1701"/>
        <w:gridCol w:w="1404"/>
        <w:gridCol w:w="805"/>
        <w:gridCol w:w="950"/>
        <w:gridCol w:w="385"/>
        <w:gridCol w:w="535"/>
        <w:gridCol w:w="457"/>
        <w:gridCol w:w="53"/>
        <w:gridCol w:w="910"/>
        <w:gridCol w:w="1640"/>
      </w:tblGrid>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姓    名</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性别</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43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最高学历</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贴</w:t>
            </w:r>
            <w:r>
              <w:rPr>
                <w:rFonts w:ascii="Times New Roman" w:hAnsi="Times New Roman" w:eastAsia="仿宋_GB2312" w:cs="Times New Roman"/>
                <w:color w:val="000000"/>
                <w:kern w:val="0"/>
                <w:sz w:val="24"/>
              </w:rPr>
              <w:t> </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照</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片</w:t>
            </w: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 xml:space="preserve">出生年月   </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职称</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430" w:type="dxa"/>
            <w:gridSpan w:val="4"/>
            <w:tcBorders>
              <w:top w:val="single" w:color="000000" w:sz="4" w:space="0"/>
              <w:left w:val="nil"/>
              <w:bottom w:val="nil"/>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最高学位</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毕业学校</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870" w:type="dxa"/>
            <w:gridSpan w:val="3"/>
            <w:tcBorders>
              <w:top w:val="single" w:color="000000" w:sz="4" w:space="0"/>
              <w:left w:val="nil"/>
              <w:bottom w:val="nil"/>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参加工作时间</w:t>
            </w:r>
          </w:p>
        </w:tc>
        <w:tc>
          <w:tcPr>
            <w:tcW w:w="142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身份证号</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992"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民族</w:t>
            </w:r>
          </w:p>
        </w:tc>
        <w:tc>
          <w:tcPr>
            <w:tcW w:w="963"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imes New Roman" w:hAnsi="Times New Roman" w:eastAsia="仿宋_GB2312" w:cs="Times New Roman"/>
                <w:color w:val="000000"/>
                <w:kern w:val="0"/>
                <w:sz w:val="24"/>
                <w:lang w:val="en-US" w:eastAsia="zh-CN"/>
              </w:rPr>
            </w:pPr>
            <w:r>
              <w:rPr>
                <w:rFonts w:hint="eastAsia" w:ascii="宋体" w:hAnsi="宋体" w:eastAsia="仿宋_GB2312" w:cs="Times New Roman"/>
                <w:color w:val="000000"/>
                <w:kern w:val="0"/>
                <w:sz w:val="24"/>
              </w:rPr>
              <w:t>从教</w:t>
            </w:r>
            <w:r>
              <w:rPr>
                <w:rFonts w:hint="eastAsia" w:ascii="宋体" w:hAnsi="宋体" w:eastAsia="仿宋_GB2312" w:cs="Times New Roman"/>
                <w:color w:val="000000"/>
                <w:kern w:val="0"/>
                <w:sz w:val="24"/>
                <w:lang w:eastAsia="zh-CN"/>
              </w:rPr>
              <w:t>学院</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联系电话</w:t>
            </w: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参赛学科</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组    别</w:t>
            </w:r>
          </w:p>
        </w:tc>
        <w:tc>
          <w:tcPr>
            <w:tcW w:w="16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1572"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学习工作</w:t>
            </w:r>
          </w:p>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简历</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（大学开始）</w:t>
            </w:r>
          </w:p>
        </w:tc>
        <w:tc>
          <w:tcPr>
            <w:tcW w:w="7139" w:type="dxa"/>
            <w:gridSpan w:val="9"/>
            <w:tcBorders>
              <w:top w:val="single" w:color="000000" w:sz="4" w:space="0"/>
              <w:left w:val="nil"/>
              <w:bottom w:val="single" w:color="000000" w:sz="4" w:space="0"/>
              <w:right w:val="single" w:color="000000" w:sz="4" w:space="0"/>
            </w:tcBorders>
            <w:noWrap w:val="0"/>
            <w:vAlign w:val="top"/>
          </w:tcPr>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95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近两年主讲</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课程情况</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Times New Roman" w:eastAsia="仿宋_GB2312" w:cs="Times New Roman"/>
                <w:color w:val="000000"/>
                <w:kern w:val="0"/>
                <w:sz w:val="24"/>
              </w:rPr>
            </w:pPr>
          </w:p>
          <w:p>
            <w:pPr>
              <w:widowControl/>
              <w:spacing w:line="400" w:lineRule="exact"/>
              <w:jc w:val="center"/>
              <w:rPr>
                <w:rFonts w:ascii="宋体" w:hAnsi="Times New Roman" w:eastAsia="仿宋_GB2312" w:cs="Times New Roman"/>
                <w:color w:val="000000"/>
                <w:kern w:val="0"/>
                <w:sz w:val="24"/>
              </w:rPr>
            </w:pPr>
          </w:p>
        </w:tc>
      </w:tr>
      <w:tr>
        <w:tblPrEx>
          <w:tblCellMar>
            <w:top w:w="0" w:type="dxa"/>
            <w:left w:w="108" w:type="dxa"/>
            <w:bottom w:w="0" w:type="dxa"/>
            <w:right w:w="108" w:type="dxa"/>
          </w:tblCellMar>
        </w:tblPrEx>
        <w:trPr>
          <w:trHeight w:val="1739"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发表教学论文著作</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p>
            <w:pPr>
              <w:widowControl/>
              <w:spacing w:line="400" w:lineRule="exact"/>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073"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主</w:t>
            </w:r>
            <w:r>
              <w:rPr>
                <w:rFonts w:hint="eastAsia" w:ascii="宋体" w:hAnsi="宋体" w:eastAsia="仿宋_GB2312" w:cs="Times New Roman"/>
                <w:color w:val="000000"/>
                <w:spacing w:val="-12"/>
                <w:kern w:val="0"/>
                <w:sz w:val="24"/>
              </w:rPr>
              <w:t>持、参</w:t>
            </w:r>
            <w:r>
              <w:rPr>
                <w:rFonts w:hint="eastAsia" w:ascii="宋体" w:hAnsi="宋体" w:eastAsia="仿宋_GB2312" w:cs="Times New Roman"/>
                <w:color w:val="000000"/>
                <w:kern w:val="0"/>
                <w:sz w:val="24"/>
              </w:rPr>
              <w:t>与教学改革项目</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Times New Roman" w:eastAsia="仿宋_GB2312" w:cs="Times New Roman"/>
                <w:color w:val="000000"/>
                <w:kern w:val="0"/>
                <w:sz w:val="24"/>
              </w:rPr>
            </w:pPr>
          </w:p>
        </w:tc>
      </w:tr>
      <w:tr>
        <w:tblPrEx>
          <w:tblCellMar>
            <w:top w:w="0" w:type="dxa"/>
            <w:left w:w="108" w:type="dxa"/>
            <w:bottom w:w="0" w:type="dxa"/>
            <w:right w:w="108" w:type="dxa"/>
          </w:tblCellMar>
        </w:tblPrEx>
        <w:trPr>
          <w:trHeight w:val="240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lang w:eastAsia="zh-CN"/>
              </w:rPr>
              <w:t>曾获</w:t>
            </w:r>
            <w:r>
              <w:rPr>
                <w:rFonts w:hint="eastAsia" w:ascii="宋体" w:hAnsi="宋体" w:eastAsia="仿宋_GB2312" w:cs="Times New Roman"/>
                <w:color w:val="000000"/>
                <w:kern w:val="0"/>
                <w:sz w:val="24"/>
              </w:rPr>
              <w:t>教学</w:t>
            </w:r>
            <w:r>
              <w:rPr>
                <w:rFonts w:hint="eastAsia" w:ascii="宋体" w:hAnsi="宋体" w:eastAsia="仿宋_GB2312" w:cs="Times New Roman"/>
                <w:color w:val="000000"/>
                <w:kern w:val="0"/>
                <w:sz w:val="24"/>
                <w:lang w:eastAsia="zh-CN"/>
              </w:rPr>
              <w:t>竞赛</w:t>
            </w:r>
            <w:r>
              <w:rPr>
                <w:rFonts w:hint="eastAsia" w:ascii="宋体" w:hAnsi="宋体" w:eastAsia="仿宋_GB2312" w:cs="Times New Roman"/>
                <w:color w:val="000000"/>
                <w:kern w:val="0"/>
                <w:sz w:val="24"/>
              </w:rPr>
              <w:t>奖励</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62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Times New Roman" w:eastAsia="仿宋_GB2312" w:cs="Times New Roman"/>
                <w:color w:val="000000"/>
                <w:kern w:val="0"/>
                <w:sz w:val="24"/>
              </w:rPr>
              <w:t>所在</w:t>
            </w:r>
            <w:r>
              <w:rPr>
                <w:rFonts w:hint="eastAsia" w:ascii="宋体" w:hAnsi="Times New Roman" w:eastAsia="仿宋_GB2312" w:cs="Times New Roman"/>
                <w:color w:val="000000"/>
                <w:kern w:val="0"/>
                <w:sz w:val="24"/>
                <w:lang w:eastAsia="zh-CN"/>
              </w:rPr>
              <w:t>学院</w:t>
            </w:r>
            <w:r>
              <w:rPr>
                <w:rFonts w:hint="eastAsia" w:ascii="宋体" w:hAnsi="Times New Roman" w:eastAsia="仿宋_GB2312" w:cs="Times New Roman"/>
                <w:color w:val="000000"/>
                <w:kern w:val="0"/>
                <w:sz w:val="24"/>
              </w:rPr>
              <w:t>意见</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 xml:space="preserve">         </w:t>
            </w:r>
          </w:p>
          <w:p>
            <w:pPr>
              <w:widowControl/>
              <w:spacing w:afterLines="20"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 xml:space="preserve">             20</w:t>
            </w:r>
            <w:r>
              <w:rPr>
                <w:rFonts w:hint="eastAsia" w:ascii="宋体" w:hAnsi="宋体" w:eastAsia="仿宋_GB2312" w:cs="Times New Roman"/>
                <w:color w:val="000000"/>
                <w:kern w:val="0"/>
                <w:sz w:val="24"/>
                <w:lang w:val="en-US" w:eastAsia="zh-CN"/>
              </w:rPr>
              <w:t>20</w:t>
            </w:r>
            <w:r>
              <w:rPr>
                <w:rFonts w:hint="eastAsia" w:ascii="宋体" w:hAnsi="宋体" w:eastAsia="仿宋_GB2312" w:cs="Times New Roman"/>
                <w:color w:val="000000"/>
                <w:kern w:val="0"/>
                <w:sz w:val="24"/>
              </w:rPr>
              <w:t>年  月  日</w:t>
            </w:r>
          </w:p>
        </w:tc>
      </w:tr>
    </w:tbl>
    <w:p>
      <w:pPr>
        <w:spacing w:line="560" w:lineRule="exact"/>
        <w:jc w:val="center"/>
        <w:rPr>
          <w:rFonts w:hint="eastAsia" w:ascii="方正大标宋简体" w:hAnsi="方正大标宋简体" w:eastAsia="方正大标宋简体" w:cs="方正大标宋简体"/>
          <w:sz w:val="44"/>
          <w:szCs w:val="44"/>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附件二：</w:t>
      </w:r>
    </w:p>
    <w:p>
      <w:pPr>
        <w:spacing w:line="560" w:lineRule="exact"/>
      </w:pP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第</w:t>
      </w:r>
      <w:r>
        <w:rPr>
          <w:rFonts w:hint="eastAsia" w:ascii="方正大标宋简体" w:hAnsi="方正大标宋简体" w:eastAsia="方正大标宋简体" w:cs="方正大标宋简体"/>
          <w:sz w:val="44"/>
          <w:szCs w:val="44"/>
          <w:lang w:eastAsia="zh-CN"/>
        </w:rPr>
        <w:t>五</w:t>
      </w:r>
      <w:r>
        <w:rPr>
          <w:rFonts w:hint="eastAsia" w:ascii="方正大标宋简体" w:hAnsi="方正大标宋简体" w:eastAsia="方正大标宋简体" w:cs="方正大标宋简体"/>
          <w:sz w:val="44"/>
          <w:szCs w:val="44"/>
        </w:rPr>
        <w:t>届四川省高校青年教师教学竞赛</w:t>
      </w:r>
    </w:p>
    <w:p>
      <w:pPr>
        <w:spacing w:line="56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校内选拔赛</w:t>
      </w:r>
      <w:r>
        <w:rPr>
          <w:rFonts w:hint="eastAsia" w:ascii="方正大标宋简体" w:hAnsi="方正大标宋简体" w:eastAsia="方正大标宋简体" w:cs="方正大标宋简体"/>
          <w:sz w:val="44"/>
          <w:szCs w:val="44"/>
        </w:rPr>
        <w:t>推荐</w:t>
      </w:r>
      <w:r>
        <w:rPr>
          <w:rFonts w:hint="eastAsia" w:ascii="方正大标宋简体" w:hAnsi="方正大标宋简体" w:eastAsia="方正大标宋简体" w:cs="方正大标宋简体"/>
          <w:sz w:val="44"/>
          <w:szCs w:val="44"/>
          <w:lang w:eastAsia="zh-CN"/>
        </w:rPr>
        <w:t>人选汇总表</w:t>
      </w:r>
    </w:p>
    <w:p>
      <w:pPr>
        <w:spacing w:line="560" w:lineRule="exact"/>
      </w:pPr>
    </w:p>
    <w:tbl>
      <w:tblPr>
        <w:tblStyle w:val="5"/>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160"/>
        <w:gridCol w:w="980"/>
        <w:gridCol w:w="2282"/>
        <w:gridCol w:w="158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spacing w:line="560" w:lineRule="exact"/>
              <w:jc w:val="center"/>
              <w:rPr>
                <w:rFonts w:hint="eastAsia" w:eastAsia="宋体"/>
                <w:b/>
                <w:bCs/>
                <w:vertAlign w:val="baseline"/>
                <w:lang w:eastAsia="zh-CN"/>
              </w:rPr>
            </w:pPr>
            <w:r>
              <w:rPr>
                <w:rFonts w:hint="eastAsia"/>
                <w:b/>
                <w:bCs/>
                <w:vertAlign w:val="baseline"/>
                <w:lang w:eastAsia="zh-CN"/>
              </w:rPr>
              <w:t>学院</w:t>
            </w:r>
          </w:p>
        </w:tc>
        <w:tc>
          <w:tcPr>
            <w:tcW w:w="1160" w:type="dxa"/>
            <w:noWrap w:val="0"/>
            <w:vAlign w:val="top"/>
          </w:tcPr>
          <w:p>
            <w:pPr>
              <w:spacing w:line="560" w:lineRule="exact"/>
              <w:jc w:val="center"/>
              <w:rPr>
                <w:rFonts w:hint="eastAsia" w:eastAsia="宋体"/>
                <w:b/>
                <w:bCs/>
                <w:vertAlign w:val="baseline"/>
                <w:lang w:eastAsia="zh-CN"/>
              </w:rPr>
            </w:pPr>
            <w:r>
              <w:rPr>
                <w:rFonts w:hint="eastAsia"/>
                <w:b/>
                <w:bCs/>
                <w:vertAlign w:val="baseline"/>
                <w:lang w:eastAsia="zh-CN"/>
              </w:rPr>
              <w:t>参赛教师</w:t>
            </w:r>
          </w:p>
        </w:tc>
        <w:tc>
          <w:tcPr>
            <w:tcW w:w="980" w:type="dxa"/>
            <w:noWrap w:val="0"/>
            <w:vAlign w:val="top"/>
          </w:tcPr>
          <w:p>
            <w:pPr>
              <w:spacing w:line="560" w:lineRule="exact"/>
              <w:jc w:val="center"/>
              <w:rPr>
                <w:rFonts w:hint="eastAsia" w:eastAsia="宋体"/>
                <w:b/>
                <w:bCs/>
                <w:vertAlign w:val="baseline"/>
                <w:lang w:eastAsia="zh-CN"/>
              </w:rPr>
            </w:pPr>
            <w:r>
              <w:rPr>
                <w:rFonts w:hint="eastAsia"/>
                <w:b/>
                <w:bCs/>
                <w:vertAlign w:val="baseline"/>
                <w:lang w:eastAsia="zh-CN"/>
              </w:rPr>
              <w:t>年龄</w:t>
            </w:r>
          </w:p>
        </w:tc>
        <w:tc>
          <w:tcPr>
            <w:tcW w:w="2282" w:type="dxa"/>
            <w:noWrap w:val="0"/>
            <w:vAlign w:val="top"/>
          </w:tcPr>
          <w:p>
            <w:pPr>
              <w:spacing w:line="560" w:lineRule="exact"/>
              <w:jc w:val="center"/>
              <w:rPr>
                <w:rFonts w:hint="eastAsia" w:eastAsia="宋体"/>
                <w:b/>
                <w:bCs/>
                <w:vertAlign w:val="baseline"/>
                <w:lang w:eastAsia="zh-CN"/>
              </w:rPr>
            </w:pPr>
            <w:r>
              <w:rPr>
                <w:rFonts w:hint="eastAsia"/>
                <w:b/>
                <w:bCs/>
                <w:vertAlign w:val="baseline"/>
                <w:lang w:eastAsia="zh-CN"/>
              </w:rPr>
              <w:t>参赛课程</w:t>
            </w:r>
          </w:p>
        </w:tc>
        <w:tc>
          <w:tcPr>
            <w:tcW w:w="1581" w:type="dxa"/>
            <w:noWrap w:val="0"/>
            <w:vAlign w:val="top"/>
          </w:tcPr>
          <w:p>
            <w:pPr>
              <w:spacing w:line="560" w:lineRule="exact"/>
              <w:jc w:val="center"/>
              <w:rPr>
                <w:rFonts w:hint="eastAsia"/>
                <w:b/>
                <w:bCs/>
                <w:vertAlign w:val="baseline"/>
                <w:lang w:eastAsia="zh-CN"/>
              </w:rPr>
            </w:pPr>
            <w:r>
              <w:rPr>
                <w:rFonts w:hint="eastAsia"/>
                <w:b/>
                <w:bCs/>
                <w:vertAlign w:val="baseline"/>
                <w:lang w:eastAsia="zh-CN"/>
              </w:rPr>
              <w:t>所属组别</w:t>
            </w:r>
          </w:p>
        </w:tc>
        <w:tc>
          <w:tcPr>
            <w:tcW w:w="1581" w:type="dxa"/>
            <w:noWrap w:val="0"/>
            <w:vAlign w:val="top"/>
          </w:tcPr>
          <w:p>
            <w:pPr>
              <w:spacing w:line="560" w:lineRule="exact"/>
              <w:jc w:val="center"/>
              <w:rPr>
                <w:rFonts w:hint="eastAsia"/>
                <w:b/>
                <w:bCs/>
                <w:vertAlign w:val="baseline"/>
                <w:lang w:eastAsia="zh-CN"/>
              </w:rPr>
            </w:pPr>
            <w:r>
              <w:rPr>
                <w:rFonts w:hint="eastAsia"/>
                <w:b/>
                <w:bCs/>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spacing w:line="560" w:lineRule="exact"/>
              <w:rPr>
                <w:vertAlign w:val="baseline"/>
              </w:rPr>
            </w:pPr>
          </w:p>
        </w:tc>
        <w:tc>
          <w:tcPr>
            <w:tcW w:w="1160" w:type="dxa"/>
            <w:noWrap w:val="0"/>
            <w:vAlign w:val="top"/>
          </w:tcPr>
          <w:p>
            <w:pPr>
              <w:spacing w:line="560" w:lineRule="exact"/>
              <w:rPr>
                <w:vertAlign w:val="baseline"/>
              </w:rPr>
            </w:pPr>
          </w:p>
        </w:tc>
        <w:tc>
          <w:tcPr>
            <w:tcW w:w="980" w:type="dxa"/>
            <w:noWrap w:val="0"/>
            <w:vAlign w:val="top"/>
          </w:tcPr>
          <w:p>
            <w:pPr>
              <w:spacing w:line="560" w:lineRule="exact"/>
              <w:rPr>
                <w:vertAlign w:val="baseline"/>
              </w:rPr>
            </w:pPr>
          </w:p>
        </w:tc>
        <w:tc>
          <w:tcPr>
            <w:tcW w:w="2282" w:type="dxa"/>
            <w:noWrap w:val="0"/>
            <w:vAlign w:val="top"/>
          </w:tcPr>
          <w:p>
            <w:pPr>
              <w:spacing w:line="560" w:lineRule="exact"/>
              <w:rPr>
                <w:vertAlign w:val="baseline"/>
              </w:rPr>
            </w:pPr>
          </w:p>
        </w:tc>
        <w:tc>
          <w:tcPr>
            <w:tcW w:w="1581" w:type="dxa"/>
            <w:noWrap w:val="0"/>
            <w:vAlign w:val="top"/>
          </w:tcPr>
          <w:p>
            <w:pPr>
              <w:spacing w:line="560" w:lineRule="exact"/>
              <w:rPr>
                <w:rFonts w:hint="default" w:eastAsia="宋体"/>
                <w:vertAlign w:val="baseline"/>
                <w:lang w:val="en-US" w:eastAsia="zh-CN"/>
              </w:rPr>
            </w:pPr>
            <w:r>
              <w:rPr>
                <w:rFonts w:hint="eastAsia"/>
                <w:vertAlign w:val="baseline"/>
                <w:lang w:eastAsia="zh-CN"/>
              </w:rPr>
              <w:t>文科</w:t>
            </w:r>
            <w:r>
              <w:rPr>
                <w:rFonts w:hint="eastAsia"/>
                <w:vertAlign w:val="baseline"/>
                <w:lang w:val="en-US" w:eastAsia="zh-CN"/>
              </w:rPr>
              <w:t>/理科/工科/思政</w:t>
            </w:r>
          </w:p>
        </w:tc>
        <w:tc>
          <w:tcPr>
            <w:tcW w:w="1581" w:type="dxa"/>
            <w:noWrap w:val="0"/>
            <w:vAlign w:val="top"/>
          </w:tcPr>
          <w:p>
            <w:pPr>
              <w:spacing w:line="560" w:lineRule="exac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spacing w:line="560" w:lineRule="exact"/>
              <w:rPr>
                <w:vertAlign w:val="baseline"/>
              </w:rPr>
            </w:pPr>
          </w:p>
        </w:tc>
        <w:tc>
          <w:tcPr>
            <w:tcW w:w="1160" w:type="dxa"/>
            <w:noWrap w:val="0"/>
            <w:vAlign w:val="top"/>
          </w:tcPr>
          <w:p>
            <w:pPr>
              <w:spacing w:line="560" w:lineRule="exact"/>
              <w:rPr>
                <w:vertAlign w:val="baseline"/>
              </w:rPr>
            </w:pPr>
          </w:p>
        </w:tc>
        <w:tc>
          <w:tcPr>
            <w:tcW w:w="980" w:type="dxa"/>
            <w:noWrap w:val="0"/>
            <w:vAlign w:val="top"/>
          </w:tcPr>
          <w:p>
            <w:pPr>
              <w:spacing w:line="560" w:lineRule="exact"/>
              <w:rPr>
                <w:vertAlign w:val="baseline"/>
              </w:rPr>
            </w:pPr>
          </w:p>
        </w:tc>
        <w:tc>
          <w:tcPr>
            <w:tcW w:w="2282" w:type="dxa"/>
            <w:noWrap w:val="0"/>
            <w:vAlign w:val="top"/>
          </w:tcPr>
          <w:p>
            <w:pPr>
              <w:spacing w:line="560" w:lineRule="exact"/>
              <w:rPr>
                <w:vertAlign w:val="baseline"/>
              </w:rPr>
            </w:pPr>
          </w:p>
        </w:tc>
        <w:tc>
          <w:tcPr>
            <w:tcW w:w="1581" w:type="dxa"/>
            <w:noWrap w:val="0"/>
            <w:vAlign w:val="top"/>
          </w:tcPr>
          <w:p>
            <w:pPr>
              <w:spacing w:line="560" w:lineRule="exact"/>
              <w:rPr>
                <w:vertAlign w:val="baseline"/>
              </w:rPr>
            </w:pPr>
          </w:p>
        </w:tc>
        <w:tc>
          <w:tcPr>
            <w:tcW w:w="1581" w:type="dxa"/>
            <w:noWrap w:val="0"/>
            <w:vAlign w:val="top"/>
          </w:tcPr>
          <w:p>
            <w:pPr>
              <w:spacing w:line="560" w:lineRule="exac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spacing w:line="560" w:lineRule="exact"/>
              <w:rPr>
                <w:vertAlign w:val="baseline"/>
              </w:rPr>
            </w:pPr>
          </w:p>
        </w:tc>
        <w:tc>
          <w:tcPr>
            <w:tcW w:w="1160" w:type="dxa"/>
            <w:noWrap w:val="0"/>
            <w:vAlign w:val="top"/>
          </w:tcPr>
          <w:p>
            <w:pPr>
              <w:spacing w:line="560" w:lineRule="exact"/>
              <w:rPr>
                <w:vertAlign w:val="baseline"/>
              </w:rPr>
            </w:pPr>
          </w:p>
        </w:tc>
        <w:tc>
          <w:tcPr>
            <w:tcW w:w="980" w:type="dxa"/>
            <w:noWrap w:val="0"/>
            <w:vAlign w:val="top"/>
          </w:tcPr>
          <w:p>
            <w:pPr>
              <w:spacing w:line="560" w:lineRule="exact"/>
              <w:rPr>
                <w:vertAlign w:val="baseline"/>
              </w:rPr>
            </w:pPr>
          </w:p>
        </w:tc>
        <w:tc>
          <w:tcPr>
            <w:tcW w:w="2282" w:type="dxa"/>
            <w:noWrap w:val="0"/>
            <w:vAlign w:val="top"/>
          </w:tcPr>
          <w:p>
            <w:pPr>
              <w:spacing w:line="560" w:lineRule="exact"/>
              <w:rPr>
                <w:vertAlign w:val="baseline"/>
              </w:rPr>
            </w:pPr>
          </w:p>
        </w:tc>
        <w:tc>
          <w:tcPr>
            <w:tcW w:w="1581" w:type="dxa"/>
            <w:noWrap w:val="0"/>
            <w:vAlign w:val="top"/>
          </w:tcPr>
          <w:p>
            <w:pPr>
              <w:spacing w:line="560" w:lineRule="exact"/>
              <w:rPr>
                <w:vertAlign w:val="baseline"/>
              </w:rPr>
            </w:pPr>
          </w:p>
        </w:tc>
        <w:tc>
          <w:tcPr>
            <w:tcW w:w="1581" w:type="dxa"/>
            <w:noWrap w:val="0"/>
            <w:vAlign w:val="top"/>
          </w:tcPr>
          <w:p>
            <w:pPr>
              <w:spacing w:line="560" w:lineRule="exact"/>
              <w:rPr>
                <w:vertAlign w:val="baseline"/>
              </w:rPr>
            </w:pPr>
          </w:p>
        </w:tc>
      </w:tr>
    </w:tbl>
    <w:p>
      <w:pPr>
        <w:pStyle w:val="7"/>
        <w:spacing w:line="600" w:lineRule="exact"/>
        <w:rPr>
          <w:rFonts w:hint="eastAsia" w:eastAsia="宋体"/>
          <w:lang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p>
    <w:p>
      <w:pPr>
        <w:spacing w:line="60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br w:type="page"/>
      </w:r>
      <w:r>
        <w:rPr>
          <w:rFonts w:hint="eastAsia" w:ascii="黑体" w:hAnsi="黑体" w:eastAsia="黑体" w:cs="Times New Roman"/>
          <w:sz w:val="32"/>
          <w:szCs w:val="32"/>
          <w:lang w:val="en-US" w:eastAsia="zh-CN"/>
        </w:rPr>
        <w:t>附件三：</w:t>
      </w:r>
    </w:p>
    <w:p>
      <w:pPr>
        <w:spacing w:line="600" w:lineRule="exact"/>
        <w:rPr>
          <w:rFonts w:hint="eastAsia" w:ascii="黑体" w:hAnsi="黑体" w:eastAsia="黑体" w:cs="Times New Roman"/>
          <w:sz w:val="32"/>
          <w:szCs w:val="32"/>
          <w:lang w:val="en-US" w:eastAsia="zh-CN"/>
        </w:rPr>
      </w:pPr>
    </w:p>
    <w:p>
      <w:pPr>
        <w:spacing w:line="520" w:lineRule="exact"/>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Times New Roman"/>
          <w:color w:val="000000"/>
          <w:sz w:val="44"/>
          <w:szCs w:val="44"/>
        </w:rPr>
        <w:t>第四届四川省高校青年教师教学竞赛</w:t>
      </w:r>
    </w:p>
    <w:p>
      <w:pPr>
        <w:spacing w:line="520" w:lineRule="exact"/>
        <w:jc w:val="center"/>
        <w:rPr>
          <w:rFonts w:ascii="文鼎大标宋简" w:hAnsi="华文中宋" w:eastAsia="文鼎大标宋简" w:cs="Times New Roman"/>
          <w:color w:val="000000"/>
          <w:sz w:val="44"/>
          <w:szCs w:val="44"/>
        </w:rPr>
      </w:pPr>
      <w:r>
        <w:rPr>
          <w:rFonts w:hint="eastAsia" w:ascii="方正小标宋简体" w:hAnsi="华文中宋" w:eastAsia="方正小标宋简体" w:cs="Times New Roman"/>
          <w:color w:val="000000"/>
          <w:sz w:val="44"/>
          <w:szCs w:val="44"/>
        </w:rPr>
        <w:t>实施方案</w:t>
      </w:r>
    </w:p>
    <w:p>
      <w:pPr>
        <w:spacing w:line="520" w:lineRule="exact"/>
        <w:ind w:firstLine="680" w:firstLineChars="200"/>
        <w:rPr>
          <w:rFonts w:ascii="文鼎大标宋简" w:hAnsi="华文仿宋" w:eastAsia="文鼎大标宋简" w:cs="Times New Roman"/>
          <w:color w:val="000000"/>
          <w:sz w:val="32"/>
          <w:szCs w:val="32"/>
        </w:rPr>
      </w:pP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一、竞赛时间及地点</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2018年6月中旬预赛，7月上旬决赛。地点：西南科技大学。具体时间另行通知。</w:t>
      </w: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二、竞赛学科</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竞赛学科分设四个学科组别：</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第一组为文科（含 01 哲学，02 经济学，03 法学，04 教育学，05 文学，06 历史学，12 管理学，13 艺术学）；</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第二组为理科（含07理学）；</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第三组为工科（含08 工学，09 农学，10 医学）；</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第四组为思想政治理论课专项。</w:t>
      </w: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三、参赛对象及条件</w:t>
      </w:r>
    </w:p>
    <w:p>
      <w:pPr>
        <w:spacing w:line="520" w:lineRule="exact"/>
        <w:ind w:firstLine="68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全省依法建立工会的普通本科院校和工会关系在四川省教科文卫工会的其他高等院校，</w:t>
      </w:r>
      <w:r>
        <w:rPr>
          <w:rFonts w:hint="eastAsia" w:ascii="仿宋_GB2312" w:hAnsi="华文仿宋" w:eastAsia="仿宋_GB2312" w:cs="Times New Roman"/>
          <w:color w:val="000000"/>
          <w:sz w:val="32"/>
          <w:szCs w:val="32"/>
        </w:rPr>
        <w:t>从事教育教学工作的青年教师均可报名</w:t>
      </w:r>
      <w:r>
        <w:rPr>
          <w:rFonts w:hint="eastAsia" w:ascii="仿宋_GB2312" w:hAnsi="Times New Roman" w:eastAsia="仿宋_GB2312" w:cs="Times New Roman"/>
          <w:color w:val="000000"/>
          <w:sz w:val="32"/>
          <w:szCs w:val="32"/>
        </w:rPr>
        <w:t>（本科独立院校参赛须上级工会签章同意，见附件5）</w:t>
      </w:r>
      <w:r>
        <w:rPr>
          <w:rFonts w:hint="eastAsia" w:ascii="仿宋_GB2312" w:hAnsi="华文仿宋" w:eastAsia="仿宋_GB2312" w:cs="Times New Roman"/>
          <w:color w:val="000000"/>
          <w:sz w:val="32"/>
          <w:szCs w:val="32"/>
        </w:rPr>
        <w:t>。</w:t>
      </w:r>
      <w:r>
        <w:rPr>
          <w:rFonts w:hint="eastAsia" w:ascii="仿宋_GB2312" w:hAnsi="Times New Roman" w:eastAsia="仿宋_GB2312" w:cs="Times New Roman"/>
          <w:color w:val="000000"/>
          <w:sz w:val="32"/>
          <w:szCs w:val="32"/>
        </w:rPr>
        <w:t>各校青年教师参赛选手年龄必须在40岁以下（1978年8月31日后出生），须身份证、教师资格证、工作证（或单位证明）“三证”齐全。</w:t>
      </w: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四、省级预赛内容及流程</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各校选拔组队后，于6月8号前报名参加省级预赛。</w:t>
      </w:r>
    </w:p>
    <w:p>
      <w:pPr>
        <w:spacing w:line="520" w:lineRule="exact"/>
        <w:ind w:firstLine="680" w:firstLineChars="200"/>
        <w:rPr>
          <w:rFonts w:ascii="楷体" w:hAnsi="楷体" w:eastAsia="楷体" w:cs="楷体"/>
          <w:color w:val="000000"/>
          <w:sz w:val="32"/>
          <w:szCs w:val="32"/>
        </w:rPr>
      </w:pPr>
      <w:r>
        <w:rPr>
          <w:rFonts w:hint="eastAsia" w:ascii="楷体" w:hAnsi="楷体" w:eastAsia="楷体" w:cs="楷体"/>
          <w:color w:val="000000"/>
          <w:sz w:val="32"/>
          <w:szCs w:val="32"/>
        </w:rPr>
        <w:t>（一）预赛内容</w:t>
      </w:r>
    </w:p>
    <w:p>
      <w:pPr>
        <w:spacing w:line="520" w:lineRule="exact"/>
        <w:ind w:firstLine="68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以“上好一门课”为竞赛理念。预赛由教学设计、课堂教学和教学反思三部分组成，三部分分数分别为20分、75分、5分（请参照“省级决赛内容及流程”）。预赛的课堂教学内容为选手提供的20分钟视频录像。</w:t>
      </w:r>
    </w:p>
    <w:p>
      <w:pPr>
        <w:spacing w:line="520" w:lineRule="exact"/>
        <w:ind w:firstLine="680" w:firstLineChars="200"/>
        <w:rPr>
          <w:rFonts w:ascii="楷体" w:hAnsi="楷体" w:eastAsia="楷体" w:cs="楷体"/>
          <w:color w:val="000000"/>
          <w:sz w:val="32"/>
          <w:szCs w:val="32"/>
        </w:rPr>
      </w:pPr>
      <w:r>
        <w:rPr>
          <w:rFonts w:hint="eastAsia" w:ascii="楷体" w:hAnsi="楷体" w:eastAsia="楷体" w:cs="楷体"/>
          <w:color w:val="000000"/>
          <w:sz w:val="32"/>
          <w:szCs w:val="32"/>
        </w:rPr>
        <w:t>（二）预赛评分方式</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采取集中报送预赛材料并集中评审的方式进行。由专家委员会按照四个学科组别组成四个评委组，每组7人，对选手提供的预赛材料进行集中评审。预赛成绩评定采用百分制，仍然按照决赛使用的教学设计评分表（20分）、课堂教学评分表（75分）和教学反思评分表（5分）打分。统分时去掉一个最高分和一个最低分后的累积分，除以评委人数（不含一个最高分和一个最低分的评委）为选手本环节得分，得分保留小数点后两位。选手三个环节的得分相加为最终得分，最终得分保留小数点后两位。</w:t>
      </w:r>
    </w:p>
    <w:p>
      <w:pPr>
        <w:spacing w:line="520" w:lineRule="exact"/>
        <w:ind w:firstLine="680" w:firstLineChars="200"/>
        <w:rPr>
          <w:rFonts w:ascii="楷体" w:hAnsi="楷体" w:eastAsia="楷体" w:cs="楷体"/>
          <w:color w:val="000000"/>
          <w:sz w:val="32"/>
          <w:szCs w:val="32"/>
        </w:rPr>
      </w:pPr>
      <w:r>
        <w:rPr>
          <w:rFonts w:hint="eastAsia" w:ascii="楷体" w:hAnsi="楷体" w:eastAsia="楷体" w:cs="楷体"/>
          <w:color w:val="000000"/>
          <w:sz w:val="32"/>
          <w:szCs w:val="32"/>
        </w:rPr>
        <w:t>（三）预赛报名及报送材料要求</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1.填写《第四届四川省高校青年教师教学竞赛预赛人员汇总表》（见附件5），并附选手身份证复印件一份。</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2.报送选手预赛视频光盘。视频光盘内容包括：</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第一部分：20分钟课堂教学视频、视频所对应的教学设计以及视频所对应的PPT讲稿（20分钟）、教学反思；</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第二部分：参赛课程20个学时的教学设计和与之相对应的20个教学节段（即20分钟的课堂教学内容）的PPT。视频光盘一式两份[物理介质：DVD光盘;视频格式：MP4(可用暴风影音播放); 视频分辨率不低于1600*900。具体包括以下内容：</w:t>
      </w:r>
    </w:p>
    <w:p>
      <w:pPr>
        <w:spacing w:line="520" w:lineRule="exact"/>
        <w:ind w:firstLine="680" w:firstLineChars="200"/>
        <w:rPr>
          <w:rFonts w:ascii="仿宋_GB2312" w:hAnsi="华文仿宋" w:eastAsia="仿宋_GB2312" w:cs="Times New Roman"/>
          <w:color w:val="000000"/>
          <w:sz w:val="32"/>
          <w:szCs w:val="32"/>
        </w:rPr>
      </w:pPr>
      <w:r>
        <w:rPr>
          <w:rFonts w:hint="eastAsia" w:ascii="微软雅黑" w:hAnsi="微软雅黑" w:eastAsia="微软雅黑" w:cs="微软雅黑"/>
          <w:color w:val="000000"/>
          <w:sz w:val="32"/>
          <w:szCs w:val="32"/>
        </w:rPr>
        <w:t>⑴</w:t>
      </w:r>
      <w:r>
        <w:rPr>
          <w:rFonts w:hint="eastAsia" w:ascii="仿宋_GB2312" w:hAnsi="华文仿宋" w:eastAsia="仿宋_GB2312" w:cs="Times New Roman"/>
          <w:color w:val="000000"/>
          <w:sz w:val="32"/>
          <w:szCs w:val="32"/>
        </w:rPr>
        <w:t>封面（按以下格式排版）</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第一行：第四届四川省高校青年教师教学竞赛预赛参赛材料（页面左上角，二号，宋体）；</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第二行：课程名称，例如遗传学（页面三分之一处居中，初号，宋体）；</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第三行：参赛组别，例如文科组（页面二分之一处居中，一号，宋体）。</w:t>
      </w:r>
    </w:p>
    <w:p>
      <w:pPr>
        <w:spacing w:line="520" w:lineRule="exact"/>
        <w:ind w:firstLine="680" w:firstLineChars="200"/>
        <w:rPr>
          <w:rFonts w:ascii="仿宋_GB2312" w:hAnsi="华文仿宋" w:eastAsia="仿宋_GB2312" w:cs="Times New Roman"/>
          <w:color w:val="000000"/>
          <w:sz w:val="32"/>
          <w:szCs w:val="32"/>
        </w:rPr>
      </w:pPr>
      <w:r>
        <w:rPr>
          <w:rFonts w:hint="eastAsia" w:ascii="微软雅黑" w:hAnsi="微软雅黑" w:eastAsia="微软雅黑" w:cs="微软雅黑"/>
          <w:color w:val="000000"/>
          <w:sz w:val="32"/>
          <w:szCs w:val="32"/>
        </w:rPr>
        <w:t>⑵</w:t>
      </w:r>
      <w:r>
        <w:rPr>
          <w:rFonts w:hint="eastAsia" w:ascii="仿宋_GB2312" w:hAnsi="华文仿宋" w:eastAsia="仿宋_GB2312" w:cs="Times New Roman"/>
          <w:color w:val="000000"/>
          <w:sz w:val="32"/>
          <w:szCs w:val="32"/>
        </w:rPr>
        <w:t>教学大纲</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教学大纲主要包含课程名称、基本信息（课程性质、教学时数、学分、学生对象）、课程简介、课程目标、课程内容与教学安排、课程评价、建议阅读文献等要素。</w:t>
      </w:r>
    </w:p>
    <w:p>
      <w:pPr>
        <w:spacing w:line="520" w:lineRule="exact"/>
        <w:ind w:firstLine="680" w:firstLineChars="200"/>
        <w:rPr>
          <w:rFonts w:ascii="仿宋_GB2312" w:hAnsi="华文仿宋" w:eastAsia="仿宋_GB2312" w:cs="Times New Roman"/>
          <w:color w:val="000000"/>
          <w:sz w:val="32"/>
          <w:szCs w:val="32"/>
        </w:rPr>
      </w:pPr>
      <w:r>
        <w:rPr>
          <w:rFonts w:hint="eastAsia" w:ascii="微软雅黑" w:hAnsi="微软雅黑" w:eastAsia="微软雅黑" w:cs="微软雅黑"/>
          <w:color w:val="000000"/>
          <w:sz w:val="32"/>
          <w:szCs w:val="32"/>
        </w:rPr>
        <w:t>⑶</w:t>
      </w:r>
      <w:r>
        <w:rPr>
          <w:rFonts w:hint="eastAsia" w:ascii="仿宋_GB2312" w:hAnsi="华文仿宋" w:eastAsia="仿宋_GB2312" w:cs="Times New Roman"/>
          <w:color w:val="000000"/>
          <w:sz w:val="32"/>
          <w:szCs w:val="32"/>
        </w:rPr>
        <w:t>教学设计</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20个学时的教学设计方案，格式为PDF文档通用格式。</w:t>
      </w:r>
    </w:p>
    <w:p>
      <w:pPr>
        <w:spacing w:line="520" w:lineRule="exact"/>
        <w:ind w:firstLine="680" w:firstLineChars="200"/>
        <w:rPr>
          <w:rFonts w:ascii="仿宋_GB2312" w:hAnsi="华文仿宋" w:eastAsia="仿宋_GB2312" w:cs="Times New Roman"/>
          <w:color w:val="000000"/>
          <w:sz w:val="32"/>
          <w:szCs w:val="32"/>
        </w:rPr>
      </w:pPr>
      <w:r>
        <w:rPr>
          <w:rFonts w:hint="eastAsia" w:ascii="微软雅黑" w:hAnsi="微软雅黑" w:eastAsia="微软雅黑" w:cs="微软雅黑"/>
          <w:color w:val="000000"/>
          <w:sz w:val="32"/>
          <w:szCs w:val="32"/>
        </w:rPr>
        <w:t>⑷</w:t>
      </w:r>
      <w:r>
        <w:rPr>
          <w:rFonts w:hint="eastAsia" w:ascii="仿宋_GB2312" w:hAnsi="华文仿宋" w:eastAsia="仿宋_GB2312" w:cs="Times New Roman"/>
          <w:color w:val="000000"/>
          <w:sz w:val="32"/>
          <w:szCs w:val="32"/>
        </w:rPr>
        <w:t>教学节段PPT</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与20个学时教学设计方案相对应的20个教学节段的PPT，格式为Powerpoint演示文稿16:9大小，分辨率为1600*900。</w:t>
      </w:r>
    </w:p>
    <w:p>
      <w:pPr>
        <w:spacing w:line="520" w:lineRule="exact"/>
        <w:ind w:firstLine="680" w:firstLineChars="200"/>
        <w:rPr>
          <w:rFonts w:ascii="仿宋_GB2312" w:hAnsi="华文仿宋" w:eastAsia="仿宋_GB2312" w:cs="Times New Roman"/>
          <w:color w:val="000000"/>
          <w:sz w:val="32"/>
          <w:szCs w:val="32"/>
        </w:rPr>
      </w:pPr>
      <w:r>
        <w:rPr>
          <w:rFonts w:hint="eastAsia" w:ascii="微软雅黑" w:hAnsi="微软雅黑" w:eastAsia="微软雅黑" w:cs="微软雅黑"/>
          <w:color w:val="000000"/>
          <w:sz w:val="32"/>
          <w:szCs w:val="32"/>
        </w:rPr>
        <w:t>⑸</w:t>
      </w:r>
      <w:r>
        <w:rPr>
          <w:rFonts w:hint="eastAsia" w:ascii="仿宋_GB2312" w:hAnsi="华文仿宋" w:eastAsia="仿宋_GB2312" w:cs="Times New Roman"/>
          <w:color w:val="000000"/>
          <w:sz w:val="32"/>
          <w:szCs w:val="32"/>
        </w:rPr>
        <w:t>教学节段PPT的目录</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20个教学节段PPT的目录（目录范例见附件7）。</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除封面外，其它材料正文一级标题用3号黑体加粗；二级标题用4号黑体加粗；三级标题用小4号黑体加粗。正文内容用小4号宋体，1.5倍行距。</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3.预赛采用盲评方式，选手报送的视频光盘等预赛材料，不得出现任何选手姓名、学校和市州位置等信息，否则视为作废。选手视频着装以正装为主，不得佩带醒目饰物，否则将酌情扣分（相关扣分项目参照决赛有关计分方法）。</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4.预赛报名及材料于2018年6月7日至8日17:00前，邮寄或交至西南科技大学竞赛组委会办公室，逾期不再受理（快寄邮件以寄出时间为准）。</w:t>
      </w:r>
      <w:r>
        <w:rPr>
          <w:rFonts w:hint="eastAsia" w:ascii="仿宋_GB2312" w:hAnsi="华文仿宋" w:eastAsia="仿宋_GB2312" w:cs="Times New Roman"/>
          <w:sz w:val="32"/>
          <w:szCs w:val="32"/>
        </w:rPr>
        <w:t>快寄邮件封面统一写上“第四届四川省高校青年教师教学竞赛某某高校预赛材料”的字样。</w:t>
      </w:r>
    </w:p>
    <w:p>
      <w:pPr>
        <w:spacing w:line="520" w:lineRule="exact"/>
        <w:ind w:firstLine="680" w:firstLineChars="200"/>
        <w:rPr>
          <w:rFonts w:ascii="楷体" w:hAnsi="楷体" w:eastAsia="楷体" w:cs="楷体"/>
          <w:color w:val="000000"/>
          <w:sz w:val="32"/>
          <w:szCs w:val="32"/>
        </w:rPr>
      </w:pPr>
      <w:r>
        <w:rPr>
          <w:rFonts w:hint="eastAsia" w:ascii="楷体" w:hAnsi="楷体" w:eastAsia="楷体" w:cs="楷体"/>
          <w:color w:val="000000"/>
          <w:sz w:val="32"/>
          <w:szCs w:val="32"/>
        </w:rPr>
        <w:t>（四）预赛成绩公示</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预计6月15日左右公示预赛成绩，5个工作日无异议后生效。公示网站为四川省总工会网站“教科文卫”栏：</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http://www.scgh.org/more.aspx?key1=503&amp;key2=503</w:t>
      </w: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五、省级决赛内容及流程</w:t>
      </w:r>
    </w:p>
    <w:p>
      <w:pPr>
        <w:spacing w:line="520" w:lineRule="exact"/>
        <w:ind w:firstLine="680" w:firstLineChars="200"/>
        <w:rPr>
          <w:rFonts w:ascii="仿宋_GB2312" w:hAnsi="华文仿宋" w:eastAsia="仿宋_GB2312" w:cs="Times New Roman"/>
          <w:i/>
          <w:iCs/>
          <w:color w:val="000000"/>
          <w:sz w:val="32"/>
          <w:szCs w:val="32"/>
        </w:rPr>
      </w:pPr>
      <w:r>
        <w:rPr>
          <w:rFonts w:hint="eastAsia" w:ascii="仿宋_GB2312" w:hAnsi="华文仿宋" w:eastAsia="仿宋_GB2312" w:cs="Times New Roman"/>
          <w:color w:val="000000"/>
          <w:sz w:val="32"/>
          <w:szCs w:val="32"/>
        </w:rPr>
        <w:t>本次决赛以“上好一门课”为竞赛理念，由教学设计、课堂教学和教学反思三部分组成，三部分分数分别为20分、75分、5分。</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（一）教学设计</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教学设计是指以1个学时为基本单位，对教学活动的设想与安排。基本要素有：题目、教学目的、教学思想、教学分析（内容、重难点）、教学方法和策略以及教学安排等。</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1.参赛课程20个学时的教学设计方案。主要包括主题名称、课时数、学情分析、教学目标、课程资源、教学内容与过程、教学评价、预习任务与课后作业等。评委将对整套教学设计方案进行打分。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2.参赛课程20个学时相对应的20个课堂教学节段的PPT。教学节段指课堂教学20分钟所需要的教学内容。</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（二）课堂教学</w:t>
      </w:r>
    </w:p>
    <w:p>
      <w:pPr>
        <w:spacing w:line="520" w:lineRule="exact"/>
        <w:ind w:firstLine="680" w:firstLineChars="200"/>
        <w:rPr>
          <w:rFonts w:ascii="仿宋_GB2312" w:hAnsi="华文仿宋" w:eastAsia="仿宋_GB2312" w:cs="Times New Roman"/>
          <w:sz w:val="32"/>
          <w:szCs w:val="32"/>
        </w:rPr>
      </w:pPr>
      <w:r>
        <w:rPr>
          <w:rFonts w:hint="eastAsia" w:ascii="仿宋_GB2312" w:hAnsi="华文仿宋" w:eastAsia="仿宋_GB2312" w:cs="Times New Roman"/>
          <w:color w:val="000000"/>
          <w:sz w:val="32"/>
          <w:szCs w:val="32"/>
        </w:rPr>
        <w:t>课堂教学规定时间为20分钟，用普通话授课。评委主要从</w:t>
      </w:r>
      <w:r>
        <w:rPr>
          <w:rFonts w:hint="eastAsia" w:ascii="仿宋_GB2312" w:hAnsi="华文仿宋" w:eastAsia="仿宋_GB2312" w:cs="Times New Roman"/>
          <w:sz w:val="32"/>
          <w:szCs w:val="32"/>
        </w:rPr>
        <w:t>教学内容、教学组织、教学语言与教态、教学特色四个方面进行考评。根据各自参赛课程需要，选手可携带教学模型、挂图等。省级决赛时，将安排直播（或网络直播）观摩室。课堂教学全程录像，视频版权归竞赛组委会所有。</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（三）教学反思</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电脑，不允许携带任何书面或电子等形式的资料。</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（四）计分方法</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评委评分实行实名制。教学设计、课堂教学、教学反思三部分具体评分标准分别参见附件1、2、3。统分时去掉一个最高分和一个最低分后的累积分，除以评委人数（不含一个最高分和一个最低分的评委）为选手本环节得分，得分保留小数点后两位。成绩评定采用百分制，选手三个环节的得分相加为最终得分，最终得分保留小数点后两位。</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选手有下列情形之一的，将视情况扣分：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1.选手在课堂教学环节以及报名时提交给评委的所有电子文档材料中出现了选手姓名、学校和市州地址等信息的，扣100分；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w:t>
      </w:r>
      <w:r>
        <w:rPr>
          <w:rFonts w:ascii="Times New Roman" w:hAnsi="Times New Roman" w:eastAsia="宋体" w:cs="Times New Roman"/>
        </w:rPr>
        <w:t xml:space="preserve"> </w:t>
      </w:r>
      <w:r>
        <w:rPr>
          <w:rFonts w:hint="eastAsia" w:ascii="仿宋_GB2312" w:hAnsi="华文仿宋" w:eastAsia="仿宋_GB2312" w:cs="Times New Roman"/>
          <w:color w:val="000000"/>
          <w:sz w:val="32"/>
          <w:szCs w:val="32"/>
        </w:rPr>
        <w:t>选手在决赛各环节中有违反竞赛纪律的，扣5-10分；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3.</w:t>
      </w:r>
      <w:r>
        <w:rPr>
          <w:rFonts w:ascii="Times New Roman" w:hAnsi="Times New Roman" w:eastAsia="宋体" w:cs="Times New Roman"/>
        </w:rPr>
        <w:t xml:space="preserve"> </w:t>
      </w:r>
      <w:r>
        <w:rPr>
          <w:rFonts w:hint="eastAsia" w:ascii="仿宋_GB2312" w:hAnsi="华文仿宋" w:eastAsia="仿宋_GB2312" w:cs="Times New Roman"/>
          <w:color w:val="000000"/>
          <w:sz w:val="32"/>
          <w:szCs w:val="32"/>
        </w:rPr>
        <w:t>选手课堂现场教学时间为20分钟，不足15分钟结束的，扣1分。课堂教学用完20分钟且工作人员举牌【时间到】之后20秒内不扣分；超过20分钟20秒的，扣0.1分；超过21分钟的，扣0.5分。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4.选手在课堂教学比赛中，除佩戴选手编号之外，不得佩戴耳环、胸花等醒目饰物，否则酌情扣0.1-0.5分。</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5.</w:t>
      </w:r>
      <w:r>
        <w:rPr>
          <w:rFonts w:ascii="Times New Roman" w:hAnsi="Times New Roman" w:eastAsia="宋体" w:cs="Times New Roman"/>
        </w:rPr>
        <w:t xml:space="preserve"> </w:t>
      </w:r>
      <w:r>
        <w:rPr>
          <w:rFonts w:hint="eastAsia" w:ascii="仿宋_GB2312" w:hAnsi="华文仿宋" w:eastAsia="仿宋_GB2312" w:cs="Times New Roman"/>
          <w:color w:val="000000"/>
          <w:sz w:val="32"/>
          <w:szCs w:val="32"/>
        </w:rPr>
        <w:t>选手参赛课程的实际学分少于2个学分的，扣2分（等于和多于2个学分的不扣分）。</w:t>
      </w:r>
    </w:p>
    <w:p>
      <w:pPr>
        <w:spacing w:line="520" w:lineRule="exact"/>
        <w:ind w:firstLine="680" w:firstLineChars="200"/>
        <w:rPr>
          <w:rFonts w:ascii="楷体_GB2312" w:hAnsi="华文仿宋" w:eastAsia="楷体_GB2312" w:cs="Times New Roman"/>
          <w:color w:val="000000"/>
          <w:sz w:val="32"/>
          <w:szCs w:val="32"/>
        </w:rPr>
      </w:pPr>
      <w:r>
        <w:rPr>
          <w:rFonts w:hint="eastAsia" w:ascii="楷体_GB2312" w:hAnsi="华文仿宋" w:eastAsia="楷体_GB2312" w:cs="Times New Roman"/>
          <w:color w:val="000000"/>
          <w:sz w:val="32"/>
          <w:szCs w:val="32"/>
        </w:rPr>
        <w:t>（五）注意事项</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sz w:val="32"/>
          <w:szCs w:val="32"/>
        </w:rPr>
        <w:t>1.</w:t>
      </w:r>
      <w:r>
        <w:rPr>
          <w:rFonts w:hint="eastAsia" w:ascii="仿宋_GB2312" w:hAnsi="华文仿宋" w:eastAsia="仿宋_GB2312" w:cs="Times New Roman"/>
          <w:color w:val="000000"/>
          <w:sz w:val="32"/>
          <w:szCs w:val="32"/>
        </w:rPr>
        <w:t>组委会将在决赛前召开参赛单位领队及选手会议，抽签确定选手参赛次序；同时，在领队中抽取8名现场监督员（每个组别设置2名现场监督员，主要对抽签、抽取节段、计时、统分和扣分等公正情况进行监督确认）。</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2.决赛当天，选手现场抽签确定本人参赛的具体教学节段。</w:t>
      </w:r>
    </w:p>
    <w:p>
      <w:pPr>
        <w:spacing w:line="520" w:lineRule="exact"/>
        <w:ind w:firstLine="68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3.课堂教学赛场除评委和工作人员外，不允许非参赛人员进入（设有现场直播室）。若教学过程中确实需要学生配合的，由选手本人提出书面申请，经组委会办公室同意后统一安排。</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4.选手在课堂教学环节至18分钟时，工作人员向选手举牌提示【2分钟】；至20分钟时，工作人员向选手举牌提示【时间到】。</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5.决赛成绩不再进行程序性公示（不设公示期），由评委组长和现场监督员核实签字，报组委会确认并在表彰大会上宣读。表彰大会后张贴会场外公告栏，供选手查阅。</w:t>
      </w:r>
    </w:p>
    <w:p>
      <w:pPr>
        <w:spacing w:line="520" w:lineRule="exact"/>
        <w:ind w:firstLine="68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六、组队报名及决赛材料提交</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（一）组队报名</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sz w:val="32"/>
          <w:szCs w:val="32"/>
        </w:rPr>
        <w:t>进入省级决赛的高校，组织1支代表队参加。代表队人员构成：领队（含技术指导）1人、</w:t>
      </w:r>
      <w:r>
        <w:rPr>
          <w:rFonts w:hint="eastAsia" w:ascii="仿宋_GB2312" w:hAnsi="Times New Roman" w:eastAsia="仿宋_GB2312" w:cs="Times New Roman"/>
          <w:sz w:val="32"/>
          <w:szCs w:val="32"/>
        </w:rPr>
        <w:t>进入预赛公示生效后的前20名本校选手</w:t>
      </w:r>
      <w:r>
        <w:rPr>
          <w:rFonts w:hint="eastAsia" w:ascii="仿宋_GB2312" w:hAnsi="华文仿宋" w:eastAsia="仿宋_GB2312" w:cs="Times New Roman"/>
          <w:sz w:val="32"/>
          <w:szCs w:val="32"/>
        </w:rPr>
        <w:t>。</w:t>
      </w:r>
    </w:p>
    <w:p>
      <w:pPr>
        <w:spacing w:line="520" w:lineRule="exact"/>
        <w:ind w:firstLine="68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各校应根据预赛公示情况，督促选手及时准备决赛报名材料：即选手本人身份证复印件1份、《第四届四川省高校青年教师教学竞赛决赛选手推荐表》一式两份（见附件4）、《第四届四川省高校青年教师教学竞赛决赛人员汇总表》（见附件6）、本校选拔赛通知及选拔赛成绩通报的文件。上述报名材料于2018年6月30日前</w:t>
      </w:r>
      <w:r>
        <w:rPr>
          <w:rFonts w:hint="eastAsia" w:ascii="仿宋_GB2312" w:hAnsi="华文仿宋" w:eastAsia="仿宋_GB2312" w:cs="Times New Roman"/>
          <w:color w:val="000000"/>
          <w:sz w:val="32"/>
          <w:szCs w:val="32"/>
        </w:rPr>
        <w:t>快寄邮件</w:t>
      </w:r>
      <w:r>
        <w:rPr>
          <w:rFonts w:hint="eastAsia" w:ascii="仿宋_GB2312" w:hAnsi="华文仿宋" w:eastAsia="仿宋_GB2312" w:cs="Times New Roman"/>
          <w:sz w:val="32"/>
          <w:szCs w:val="32"/>
        </w:rPr>
        <w:t>至</w:t>
      </w:r>
      <w:r>
        <w:rPr>
          <w:rFonts w:hint="eastAsia" w:ascii="仿宋_GB2312" w:hAnsi="华文仿宋" w:eastAsia="仿宋_GB2312" w:cs="Times New Roman"/>
          <w:color w:val="000000"/>
          <w:sz w:val="32"/>
          <w:szCs w:val="32"/>
        </w:rPr>
        <w:t>西南科技大学</w:t>
      </w:r>
      <w:r>
        <w:rPr>
          <w:rFonts w:hint="eastAsia" w:ascii="仿宋_GB2312" w:hAnsi="华文仿宋" w:eastAsia="仿宋_GB2312" w:cs="Times New Roman"/>
          <w:sz w:val="32"/>
          <w:szCs w:val="32"/>
        </w:rPr>
        <w:t>竞赛组委会办公室。</w:t>
      </w:r>
    </w:p>
    <w:p>
      <w:pPr>
        <w:spacing w:line="520" w:lineRule="exact"/>
        <w:ind w:firstLine="680" w:firstLineChars="200"/>
        <w:rPr>
          <w:rFonts w:ascii="楷体" w:hAnsi="楷体" w:eastAsia="楷体" w:cs="Times New Roman"/>
          <w:color w:val="000000"/>
          <w:sz w:val="32"/>
          <w:szCs w:val="32"/>
        </w:rPr>
      </w:pPr>
      <w:r>
        <w:rPr>
          <w:rFonts w:hint="eastAsia" w:ascii="楷体" w:hAnsi="楷体" w:eastAsia="楷体" w:cs="Times New Roman"/>
          <w:color w:val="000000"/>
          <w:sz w:val="32"/>
          <w:szCs w:val="32"/>
        </w:rPr>
        <w:t>（二）决赛材料提交</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sz w:val="32"/>
          <w:szCs w:val="32"/>
        </w:rPr>
        <w:t>选手须在2018年6月30日17时前，通过网络邮件提交决</w:t>
      </w:r>
      <w:r>
        <w:rPr>
          <w:rFonts w:hint="eastAsia" w:ascii="仿宋_GB2312" w:hAnsi="华文仿宋" w:eastAsia="仿宋_GB2312" w:cs="Times New Roman"/>
          <w:color w:val="000000"/>
          <w:sz w:val="32"/>
          <w:szCs w:val="32"/>
        </w:rPr>
        <w:t>赛材料（</w:t>
      </w:r>
      <w:r>
        <w:rPr>
          <w:rFonts w:hint="eastAsia" w:ascii="仿宋_GB2312" w:hAnsi="华文仿宋" w:eastAsia="仿宋_GB2312" w:cs="Times New Roman"/>
          <w:sz w:val="32"/>
          <w:szCs w:val="32"/>
        </w:rPr>
        <w:t>组委会办公室电子邮件地址：2697267@qq.com，</w:t>
      </w:r>
      <w:r>
        <w:rPr>
          <w:rFonts w:hint="eastAsia" w:ascii="仿宋_GB2312" w:hAnsi="华文仿宋" w:eastAsia="仿宋_GB2312" w:cs="Times New Roman"/>
          <w:color w:val="000000"/>
          <w:sz w:val="32"/>
          <w:szCs w:val="32"/>
        </w:rPr>
        <w:t>电子邮件标题统一为“某某高校第四届决赛材料”）。材料一经提交，组委会不接受任何形式的更改或调换。逾期未报送者，视作放弃参赛资格。具体包括以下内容：</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1.封面（按以下格式排版）</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第一行：第四届四川省高校青年教师教学竞赛决赛参赛材料（页面左上角，二号，宋体）；</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第二行：课程名称，例如遗传学（页面三分之一处居中，初号，宋体）；</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第三行：参赛组别，例如文科组（页面二分之一处居中，一号，宋体）。</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2.教学大纲</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教学大纲主要包含课程名称、基本信息（课程性质、教学时数、学分、学生对象）、课程简介、课程目标、课程内容与教学安排、课程评价、建议阅读文献等要素。</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3.教学设计</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20个学时的教学设计方案，格式为PDF文档通用格式。</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4.教学节段PPT</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与20个学时教学设计方案相对应的20个教学节段的PPT，格式为Powerpoint演示文稿16:9大小，分辨率为1600*900。</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5.教学节段PPT的目录</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20个教学节段PPT的目录（目录范例见附件7）。</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除封面外，其它材料正文一级标题用3号黑体加粗；二级标题用4号黑体加粗；三级标题用小4号黑体加粗。正文内容用小4号宋体，1.5倍行距。</w:t>
      </w:r>
    </w:p>
    <w:p>
      <w:pPr>
        <w:widowControl/>
        <w:spacing w:line="580" w:lineRule="exact"/>
        <w:ind w:firstLine="68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七、决赛设备配置</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（一）计算机</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1.系统版本：win7旗舰版；</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2.处理器：intel i5-4590;</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3.内存：8G;</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4.系统类型：64位操作系统；</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5.应用软件版本：office2010，支持PDF格式；</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6.播放器：暴风影音。</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（二）白板</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（三）短焦投影</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（四）翻页器（带话筒）</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（五）白板笔（红色、蓝色、黑色）</w:t>
      </w:r>
    </w:p>
    <w:p>
      <w:pPr>
        <w:widowControl/>
        <w:spacing w:line="580" w:lineRule="exact"/>
        <w:ind w:firstLine="680" w:firstLineChars="200"/>
        <w:jc w:val="left"/>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赛前组委会将开放竞赛场地，供选手熟悉比赛环境（具体时间另行通知）。</w:t>
      </w:r>
    </w:p>
    <w:p>
      <w:pPr>
        <w:spacing w:line="580" w:lineRule="exact"/>
        <w:ind w:firstLine="680" w:firstLineChars="200"/>
        <w:rPr>
          <w:rFonts w:ascii="黑体" w:hAnsi="Times New Roman" w:eastAsia="黑体" w:cs="Times New Roman"/>
          <w:sz w:val="32"/>
        </w:rPr>
      </w:pPr>
      <w:r>
        <w:rPr>
          <w:rFonts w:hint="eastAsia" w:ascii="黑体" w:hAnsi="Times New Roman" w:eastAsia="黑体" w:cs="Times New Roman"/>
          <w:sz w:val="32"/>
        </w:rPr>
        <w:t>八、竞赛工作联系方式</w:t>
      </w:r>
    </w:p>
    <w:p>
      <w:pPr>
        <w:spacing w:line="580" w:lineRule="exact"/>
        <w:ind w:firstLine="680" w:firstLineChars="200"/>
        <w:rPr>
          <w:rFonts w:ascii="黑体" w:hAnsi="Times New Roman" w:eastAsia="黑体" w:cs="Times New Roman"/>
          <w:bCs/>
          <w:color w:val="000000"/>
          <w:sz w:val="32"/>
          <w:szCs w:val="32"/>
        </w:rPr>
      </w:pPr>
      <w:r>
        <w:rPr>
          <w:rFonts w:hint="eastAsia" w:ascii="楷体_GB2312" w:hAnsi="楷体_GB2312" w:eastAsia="楷体_GB2312" w:cs="楷体_GB2312"/>
          <w:bCs/>
          <w:sz w:val="32"/>
          <w:szCs w:val="32"/>
        </w:rPr>
        <w:t>（一）有关竞赛组织工作联系方式</w:t>
      </w:r>
    </w:p>
    <w:p>
      <w:pPr>
        <w:widowControl/>
        <w:spacing w:line="580" w:lineRule="exact"/>
        <w:ind w:firstLine="68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省教育厅高教处：高波　（208）86110643</w:t>
      </w:r>
    </w:p>
    <w:p>
      <w:pPr>
        <w:spacing w:line="580" w:lineRule="exact"/>
        <w:ind w:firstLine="68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省教科文卫工会：</w:t>
      </w:r>
      <w:r>
        <w:rPr>
          <w:rFonts w:hint="eastAsia" w:ascii="仿宋_GB2312" w:hAnsi="华文仿宋" w:eastAsia="仿宋_GB2312" w:cs="Times New Roman"/>
          <w:color w:val="000000"/>
          <w:spacing w:val="-8"/>
          <w:sz w:val="32"/>
          <w:szCs w:val="32"/>
        </w:rPr>
        <w:t>李多为</w:t>
      </w:r>
      <w:r>
        <w:rPr>
          <w:rFonts w:hint="eastAsia" w:ascii="仿宋_GB2312" w:hAnsi="Times New Roman" w:eastAsia="仿宋_GB2312" w:cs="Times New Roman"/>
          <w:sz w:val="32"/>
          <w:szCs w:val="32"/>
        </w:rPr>
        <w:t>（028）</w:t>
      </w:r>
      <w:r>
        <w:rPr>
          <w:rFonts w:hint="eastAsia" w:ascii="仿宋_GB2312" w:hAnsi="仿宋_GB2312" w:eastAsia="仿宋_GB2312" w:cs="仿宋_GB2312"/>
          <w:sz w:val="32"/>
          <w:szCs w:val="32"/>
        </w:rPr>
        <w:t>86121251</w:t>
      </w:r>
    </w:p>
    <w:p>
      <w:pPr>
        <w:spacing w:line="580" w:lineRule="exact"/>
        <w:ind w:firstLine="680" w:firstLineChars="200"/>
        <w:rPr>
          <w:rFonts w:ascii="楷体" w:hAnsi="楷体" w:eastAsia="楷体" w:cs="楷体"/>
          <w:sz w:val="32"/>
          <w:szCs w:val="32"/>
        </w:rPr>
      </w:pPr>
      <w:r>
        <w:rPr>
          <w:rFonts w:hint="eastAsia" w:ascii="楷体" w:hAnsi="楷体" w:eastAsia="楷体" w:cs="楷体"/>
          <w:sz w:val="32"/>
          <w:szCs w:val="32"/>
        </w:rPr>
        <w:t>（二）有关竞赛技术内容联系方式</w:t>
      </w:r>
    </w:p>
    <w:p>
      <w:pPr>
        <w:spacing w:line="580" w:lineRule="exact"/>
        <w:ind w:firstLine="68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西南科技大学赛场技术咨询王奔（0816）6089108</w:t>
      </w:r>
    </w:p>
    <w:p>
      <w:pPr>
        <w:spacing w:line="580" w:lineRule="exact"/>
        <w:ind w:firstLine="680" w:firstLineChars="200"/>
        <w:rPr>
          <w:rFonts w:ascii="华文仿宋" w:hAnsi="华文仿宋" w:eastAsia="楷体" w:cs="华文仿宋"/>
          <w:sz w:val="32"/>
          <w:szCs w:val="32"/>
        </w:rPr>
      </w:pPr>
      <w:r>
        <w:rPr>
          <w:rFonts w:hint="eastAsia" w:ascii="楷体" w:hAnsi="楷体" w:eastAsia="楷体" w:cs="楷体"/>
          <w:sz w:val="32"/>
          <w:szCs w:val="32"/>
        </w:rPr>
        <w:t>（三）竞赛组委会办公室联系方式</w:t>
      </w:r>
    </w:p>
    <w:p>
      <w:pPr>
        <w:spacing w:line="580" w:lineRule="exact"/>
        <w:ind w:firstLine="68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西南科技大学工会(四川省绵阳市涪城区青龙大道中段59号东八楼B座416室)。邮政编码：621010</w:t>
      </w:r>
    </w:p>
    <w:p>
      <w:pPr>
        <w:widowControl/>
        <w:spacing w:line="580" w:lineRule="exact"/>
        <w:ind w:firstLine="68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西南科技大学工会：白萍（0816）6089839、杨栩（0816）6089831。电子邮箱：2697267@qq.com</w:t>
      </w:r>
    </w:p>
    <w:p>
      <w:pPr>
        <w:widowControl/>
        <w:spacing w:line="580" w:lineRule="exact"/>
        <w:ind w:firstLine="680" w:firstLineChars="200"/>
        <w:jc w:val="left"/>
        <w:rPr>
          <w:rFonts w:ascii="华文仿宋" w:hAnsi="华文仿宋" w:eastAsia="华文仿宋" w:cs="华文仿宋"/>
          <w:sz w:val="32"/>
          <w:szCs w:val="32"/>
        </w:rPr>
      </w:pPr>
      <w:r>
        <w:rPr>
          <w:rFonts w:hint="eastAsia" w:ascii="华文仿宋" w:hAnsi="华文仿宋" w:eastAsia="华文仿宋" w:cs="华文仿宋"/>
          <w:color w:val="000000"/>
          <w:sz w:val="32"/>
          <w:szCs w:val="32"/>
        </w:rPr>
        <w:t>QQ群：116169259（用于解答本赛事相关疑问，请领队和参赛选手加入。特别提示：QQ群成员发言内容不得涉及与教学竞赛无关的内容）。</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本通知未尽事宜，主办单位将以补充通知或</w:t>
      </w:r>
      <w:r>
        <w:rPr>
          <w:rFonts w:hint="eastAsia" w:ascii="华文仿宋" w:hAnsi="华文仿宋" w:eastAsia="华文仿宋" w:cs="华文仿宋"/>
          <w:color w:val="000000"/>
          <w:sz w:val="32"/>
          <w:szCs w:val="32"/>
        </w:rPr>
        <w:t>QQ群文件信息等</w:t>
      </w:r>
      <w:r>
        <w:rPr>
          <w:rFonts w:hint="eastAsia" w:ascii="仿宋_GB2312" w:hAnsi="华文仿宋" w:eastAsia="仿宋_GB2312" w:cs="Times New Roman"/>
          <w:color w:val="000000"/>
          <w:sz w:val="32"/>
          <w:szCs w:val="32"/>
        </w:rPr>
        <w:t>形式予以明确。</w:t>
      </w:r>
    </w:p>
    <w:p>
      <w:pPr>
        <w:spacing w:line="520" w:lineRule="exact"/>
        <w:ind w:firstLine="680" w:firstLineChars="200"/>
        <w:rPr>
          <w:rFonts w:ascii="仿宋_GB2312" w:hAnsi="华文仿宋" w:eastAsia="仿宋_GB2312" w:cs="Times New Roman"/>
          <w:color w:val="000000"/>
          <w:sz w:val="32"/>
          <w:szCs w:val="32"/>
        </w:rPr>
      </w:pP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附件：</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　　　1.第四届四川省高校青年教师教学竞赛决赛教</w:t>
      </w:r>
    </w:p>
    <w:p>
      <w:pPr>
        <w:spacing w:line="520" w:lineRule="exact"/>
        <w:ind w:firstLine="68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　　　　学设计方案评分表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2.第四届四川省高校青年教师教学竞赛决赛课堂教学评分表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3.第四届四川省高校青年教师教学竞赛决赛教学反思评分表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4.第四届四川省高校青年教师教学竞赛决赛选手推荐表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5.第四届四川省高校青年教师教学竞赛预赛人员汇总表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6.第四届四川省高校青年教师教学竞赛决赛人员汇总表</w:t>
      </w:r>
    </w:p>
    <w:p>
      <w:pPr>
        <w:spacing w:line="520" w:lineRule="exact"/>
        <w:ind w:left="1490" w:leftChars="500" w:hanging="340" w:hangingChars="1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7.第四届四川省高校青年教师教学竞赛决赛节段目录（范例）</w:t>
      </w:r>
    </w:p>
    <w:p>
      <w:pPr>
        <w:rPr>
          <w:rFonts w:ascii="黑体" w:hAnsi="黑体" w:eastAsia="黑体" w:cs="Times New Roman"/>
          <w:color w:val="000000"/>
          <w:kern w:val="0"/>
          <w:sz w:val="28"/>
          <w:szCs w:val="28"/>
        </w:rPr>
      </w:pPr>
    </w:p>
    <w:p>
      <w:pPr>
        <w:rPr>
          <w:rFonts w:ascii="黑体" w:hAnsi="黑体" w:eastAsia="黑体" w:cs="Times New Roman"/>
          <w:color w:val="000000"/>
          <w:kern w:val="0"/>
          <w:sz w:val="28"/>
          <w:szCs w:val="28"/>
        </w:rPr>
      </w:pPr>
    </w:p>
    <w:p>
      <w:pPr>
        <w:rPr>
          <w:rFonts w:ascii="黑体" w:hAnsi="黑体" w:eastAsia="黑体" w:cs="Times New Roman"/>
          <w:color w:val="000000"/>
          <w:kern w:val="0"/>
          <w:sz w:val="28"/>
          <w:szCs w:val="28"/>
        </w:rPr>
      </w:pPr>
    </w:p>
    <w:p>
      <w:pP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附件1</w:t>
      </w:r>
    </w:p>
    <w:p>
      <w:pPr>
        <w:jc w:val="center"/>
        <w:rPr>
          <w:rFonts w:ascii="宋体" w:hAnsi="Times New Roman" w:eastAsia="仿宋_GB2312" w:cs="Times New Roman"/>
          <w:color w:val="000000"/>
          <w:kern w:val="0"/>
          <w:sz w:val="28"/>
          <w:szCs w:val="28"/>
        </w:rPr>
      </w:pPr>
    </w:p>
    <w:p>
      <w:pPr>
        <w:snapToGrid w:val="0"/>
        <w:jc w:val="center"/>
        <w:rPr>
          <w:rFonts w:ascii="方正小标宋简体" w:hAnsi="华文中宋" w:eastAsia="方正小标宋简体"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第四届四川省高校青年教师教学竞赛决赛</w:t>
      </w:r>
    </w:p>
    <w:p>
      <w:pPr>
        <w:snapToGrid w:val="0"/>
        <w:jc w:val="center"/>
        <w:rPr>
          <w:rFonts w:ascii="文鼎大标宋简" w:hAnsi="华文中宋" w:eastAsia="文鼎大标宋简"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教学设计评分表</w:t>
      </w:r>
    </w:p>
    <w:p>
      <w:pPr>
        <w:widowControl/>
        <w:spacing w:line="400" w:lineRule="atLeast"/>
        <w:rPr>
          <w:rFonts w:ascii="仿宋_GB2312" w:hAnsi="宋体" w:eastAsia="仿宋_GB2312" w:cs="Times New Roman"/>
          <w:color w:val="000000"/>
          <w:kern w:val="0"/>
          <w:sz w:val="28"/>
          <w:szCs w:val="28"/>
        </w:rPr>
      </w:pPr>
    </w:p>
    <w:p>
      <w:pPr>
        <w:widowControl/>
        <w:spacing w:line="400" w:lineRule="atLeast"/>
        <w:rPr>
          <w:rFonts w:ascii="仿宋_GB2312" w:hAnsi="Times New Roman" w:eastAsia="仿宋_GB2312" w:cs="Times New Roman"/>
          <w:color w:val="000000"/>
          <w:kern w:val="0"/>
          <w:sz w:val="28"/>
          <w:szCs w:val="28"/>
          <w:u w:val="single"/>
        </w:rPr>
      </w:pPr>
      <w:r>
        <w:rPr>
          <w:rFonts w:hint="eastAsia" w:ascii="仿宋_GB2312" w:hAnsi="宋体" w:eastAsia="仿宋_GB2312" w:cs="Times New Roman"/>
          <w:color w:val="000000"/>
          <w:kern w:val="0"/>
          <w:sz w:val="28"/>
          <w:szCs w:val="28"/>
        </w:rPr>
        <w:t>选手编号：</w:t>
      </w:r>
      <w:r>
        <w:rPr>
          <w:rFonts w:hint="eastAsia" w:ascii="仿宋_GB2312" w:hAnsi="宋体" w:eastAsia="仿宋_GB2312" w:cs="Times New Roman"/>
          <w:color w:val="000000"/>
          <w:kern w:val="0"/>
          <w:sz w:val="28"/>
          <w:szCs w:val="28"/>
          <w:u w:val="single"/>
        </w:rPr>
        <w:t xml:space="preserve">             </w:t>
      </w:r>
    </w:p>
    <w:tbl>
      <w:tblPr>
        <w:tblStyle w:val="4"/>
        <w:tblW w:w="0" w:type="auto"/>
        <w:jc w:val="center"/>
        <w:tblLayout w:type="fixed"/>
        <w:tblCellMar>
          <w:top w:w="0" w:type="dxa"/>
          <w:left w:w="108" w:type="dxa"/>
          <w:bottom w:w="0" w:type="dxa"/>
          <w:right w:w="108" w:type="dxa"/>
        </w:tblCellMar>
      </w:tblPr>
      <w:tblGrid>
        <w:gridCol w:w="1403"/>
        <w:gridCol w:w="5670"/>
        <w:gridCol w:w="889"/>
        <w:gridCol w:w="890"/>
      </w:tblGrid>
      <w:tr>
        <w:tblPrEx>
          <w:tblCellMar>
            <w:top w:w="0" w:type="dxa"/>
            <w:left w:w="108" w:type="dxa"/>
            <w:bottom w:w="0" w:type="dxa"/>
            <w:right w:w="108"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黑体" w:hAnsi="Times New Roman" w:eastAsia="黑体" w:cs="Times New Roman"/>
                <w:color w:val="000000"/>
                <w:kern w:val="0"/>
                <w:sz w:val="28"/>
                <w:szCs w:val="28"/>
              </w:rPr>
            </w:pPr>
            <w:r>
              <w:rPr>
                <w:rFonts w:hint="eastAsia" w:ascii="黑体" w:hAnsi="宋体" w:eastAsia="黑体" w:cs="Times New Roman"/>
                <w:color w:val="000000"/>
                <w:kern w:val="0"/>
                <w:sz w:val="28"/>
                <w:szCs w:val="28"/>
              </w:rPr>
              <w:t>项目</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hAnsi="Times New Roman" w:eastAsia="黑体" w:cs="Times New Roman"/>
                <w:color w:val="000000"/>
                <w:kern w:val="0"/>
                <w:sz w:val="28"/>
                <w:szCs w:val="28"/>
              </w:rPr>
            </w:pPr>
            <w:r>
              <w:rPr>
                <w:rFonts w:hint="eastAsia" w:ascii="黑体" w:hAnsi="宋体" w:eastAsia="黑体" w:cs="Times New Roman"/>
                <w:color w:val="000000"/>
                <w:kern w:val="0"/>
                <w:sz w:val="28"/>
                <w:szCs w:val="28"/>
              </w:rPr>
              <w:t>评测要求</w:t>
            </w: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hAnsi="Times New Roman" w:eastAsia="黑体" w:cs="Times New Roman"/>
                <w:color w:val="000000"/>
                <w:kern w:val="0"/>
                <w:sz w:val="28"/>
                <w:szCs w:val="28"/>
              </w:rPr>
            </w:pPr>
            <w:r>
              <w:rPr>
                <w:rFonts w:hint="eastAsia" w:ascii="黑体" w:hAnsi="宋体" w:eastAsia="黑体" w:cs="Times New Roman"/>
                <w:color w:val="000000"/>
                <w:kern w:val="0"/>
                <w:sz w:val="28"/>
                <w:szCs w:val="28"/>
              </w:rPr>
              <w:t>分值</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hAnsi="Times New Roman" w:eastAsia="黑体" w:cs="Times New Roman"/>
                <w:color w:val="000000"/>
                <w:kern w:val="0"/>
                <w:sz w:val="28"/>
                <w:szCs w:val="28"/>
              </w:rPr>
            </w:pPr>
            <w:r>
              <w:rPr>
                <w:rFonts w:hint="eastAsia" w:ascii="黑体" w:hAnsi="宋体" w:eastAsia="黑体" w:cs="Times New Roman"/>
                <w:color w:val="000000"/>
                <w:kern w:val="0"/>
                <w:sz w:val="28"/>
                <w:szCs w:val="28"/>
              </w:rPr>
              <w:t>得分</w:t>
            </w:r>
          </w:p>
        </w:tc>
      </w:tr>
      <w:tr>
        <w:tblPrEx>
          <w:tblCellMar>
            <w:top w:w="0" w:type="dxa"/>
            <w:left w:w="108" w:type="dxa"/>
            <w:bottom w:w="0" w:type="dxa"/>
            <w:right w:w="108" w:type="dxa"/>
          </w:tblCellMar>
        </w:tblPrEx>
        <w:trPr>
          <w:trHeight w:val="624" w:hRule="atLeast"/>
          <w:jc w:val="center"/>
        </w:trPr>
        <w:tc>
          <w:tcPr>
            <w:tcW w:w="1403" w:type="dxa"/>
            <w:vMerge w:val="restart"/>
            <w:tcBorders>
              <w:top w:val="nil"/>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教学       设计</w:t>
            </w:r>
          </w:p>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方案     （20分）</w:t>
            </w: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符合教学大纲，内容充实，反映学科前沿。</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4</w:t>
            </w:r>
          </w:p>
        </w:tc>
        <w:tc>
          <w:tcPr>
            <w:tcW w:w="890" w:type="dxa"/>
            <w:vMerge w:val="restart"/>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　</w:t>
            </w:r>
          </w:p>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　</w:t>
            </w: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教学目标明确、思路清晰。</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4</w:t>
            </w:r>
          </w:p>
        </w:tc>
        <w:tc>
          <w:tcPr>
            <w:tcW w:w="89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准确把握课程的重点和难点，针对性强。</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5</w:t>
            </w:r>
          </w:p>
        </w:tc>
        <w:tc>
          <w:tcPr>
            <w:tcW w:w="890"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5</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275"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文字表达准确、简洁，阐述清楚。</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2</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499"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评委</w:t>
            </w:r>
          </w:p>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签名</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合计得分</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cs="Times New Roman"/>
                <w:color w:val="000000"/>
                <w:kern w:val="0"/>
                <w:sz w:val="28"/>
                <w:szCs w:val="28"/>
              </w:rPr>
            </w:pPr>
          </w:p>
        </w:tc>
      </w:tr>
    </w:tbl>
    <w:p>
      <w:pPr>
        <w:jc w:val="left"/>
        <w:rPr>
          <w:rFonts w:ascii="宋体" w:hAnsi="Times New Roman" w:eastAsia="仿宋_GB2312" w:cs="宋体"/>
          <w:bCs/>
          <w:color w:val="000000"/>
          <w:kern w:val="0"/>
          <w:sz w:val="28"/>
          <w:szCs w:val="28"/>
        </w:rPr>
      </w:pPr>
      <w:r>
        <w:rPr>
          <w:rFonts w:hint="eastAsia" w:ascii="宋体" w:hAnsi="宋体" w:eastAsia="仿宋_GB2312" w:cs="宋体"/>
          <w:bCs/>
          <w:color w:val="000000"/>
          <w:kern w:val="0"/>
          <w:sz w:val="28"/>
          <w:szCs w:val="28"/>
        </w:rPr>
        <w:t xml:space="preserve"> </w:t>
      </w:r>
      <w:r>
        <w:rPr>
          <w:rFonts w:hint="eastAsia" w:ascii="黑体" w:hAnsi="宋体" w:eastAsia="黑体" w:cs="宋体"/>
          <w:bCs/>
          <w:color w:val="000000"/>
          <w:kern w:val="0"/>
          <w:sz w:val="28"/>
          <w:szCs w:val="28"/>
        </w:rPr>
        <w:t>注：</w:t>
      </w:r>
      <w:r>
        <w:rPr>
          <w:rFonts w:hint="eastAsia" w:ascii="楷体_GB2312" w:hAnsi="宋体" w:eastAsia="楷体_GB2312" w:cs="宋体"/>
          <w:bCs/>
          <w:color w:val="000000"/>
          <w:kern w:val="0"/>
          <w:sz w:val="28"/>
          <w:szCs w:val="28"/>
        </w:rPr>
        <w:t>评委评分最多保留小数点后两位。</w:t>
      </w:r>
    </w:p>
    <w:p>
      <w:pPr>
        <w:rPr>
          <w:rFonts w:ascii="黑体" w:hAnsi="黑体" w:eastAsia="黑体" w:cs="Times New Roman"/>
          <w:color w:val="000000"/>
          <w:kern w:val="0"/>
          <w:sz w:val="28"/>
          <w:szCs w:val="28"/>
        </w:rPr>
      </w:pPr>
    </w:p>
    <w:p>
      <w:pPr>
        <w:rPr>
          <w:rFonts w:ascii="黑体" w:hAnsi="黑体" w:eastAsia="黑体" w:cs="Times New Roman"/>
          <w:color w:val="000000"/>
          <w:kern w:val="0"/>
          <w:sz w:val="28"/>
          <w:szCs w:val="28"/>
        </w:rPr>
      </w:pPr>
    </w:p>
    <w:p>
      <w:pPr>
        <w:rPr>
          <w:rFonts w:ascii="黑体" w:hAnsi="黑体" w:eastAsia="黑体" w:cs="Times New Roman"/>
          <w:color w:val="000000"/>
          <w:kern w:val="0"/>
          <w:sz w:val="28"/>
          <w:szCs w:val="28"/>
        </w:rPr>
      </w:pPr>
      <w:r>
        <w:rPr>
          <w:rFonts w:hint="eastAsia" w:ascii="黑体" w:hAnsi="黑体" w:eastAsia="黑体" w:cs="Times New Roman"/>
          <w:color w:val="000000"/>
          <w:sz w:val="32"/>
          <w:szCs w:val="32"/>
        </w:rPr>
        <w:br w:type="page"/>
      </w:r>
      <w:r>
        <w:rPr>
          <w:rFonts w:hint="eastAsia" w:ascii="黑体" w:hAnsi="黑体" w:eastAsia="黑体" w:cs="Times New Roman"/>
          <w:color w:val="000000"/>
          <w:kern w:val="0"/>
          <w:sz w:val="28"/>
          <w:szCs w:val="28"/>
        </w:rPr>
        <w:t>附件2</w:t>
      </w:r>
    </w:p>
    <w:p>
      <w:pPr>
        <w:spacing w:line="480" w:lineRule="exact"/>
        <w:jc w:val="center"/>
        <w:rPr>
          <w:rFonts w:ascii="文鼎大标宋简" w:hAnsi="华文中宋" w:eastAsia="文鼎大标宋简" w:cs="Times New Roman"/>
          <w:bCs/>
          <w:color w:val="000000"/>
          <w:kern w:val="0"/>
          <w:sz w:val="36"/>
          <w:szCs w:val="36"/>
        </w:rPr>
      </w:pPr>
    </w:p>
    <w:p>
      <w:pPr>
        <w:spacing w:line="480" w:lineRule="exact"/>
        <w:jc w:val="center"/>
        <w:rPr>
          <w:rFonts w:ascii="方正小标宋简体" w:hAnsi="华文中宋" w:eastAsia="方正小标宋简体"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第四届四川省高校青年教师教学竞赛决赛</w:t>
      </w:r>
    </w:p>
    <w:p>
      <w:pPr>
        <w:spacing w:line="480" w:lineRule="exact"/>
        <w:jc w:val="center"/>
        <w:rPr>
          <w:rFonts w:ascii="文鼎大标宋简" w:hAnsi="华文中宋" w:eastAsia="文鼎大标宋简"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课堂教学评分表</w:t>
      </w:r>
    </w:p>
    <w:p>
      <w:pPr>
        <w:widowControl/>
        <w:spacing w:line="400" w:lineRule="atLeast"/>
        <w:ind w:firstLine="150" w:firstLineChars="50"/>
        <w:rPr>
          <w:rFonts w:ascii="仿宋_GB2312" w:hAnsi="宋体" w:eastAsia="仿宋_GB2312" w:cs="Times New Roman"/>
          <w:color w:val="000000"/>
          <w:kern w:val="0"/>
          <w:sz w:val="28"/>
          <w:szCs w:val="28"/>
        </w:rPr>
      </w:pPr>
    </w:p>
    <w:p>
      <w:pPr>
        <w:widowControl/>
        <w:spacing w:line="400" w:lineRule="atLeast"/>
        <w:ind w:firstLine="150" w:firstLineChars="50"/>
        <w:rPr>
          <w:rFonts w:ascii="黑体" w:hAnsi="宋体" w:eastAsia="黑体" w:cs="Times New Roman"/>
          <w:color w:val="000000"/>
          <w:kern w:val="0"/>
          <w:sz w:val="24"/>
        </w:rPr>
      </w:pPr>
      <w:r>
        <w:rPr>
          <w:rFonts w:hint="eastAsia" w:ascii="仿宋_GB2312" w:hAnsi="宋体" w:eastAsia="仿宋_GB2312" w:cs="Times New Roman"/>
          <w:color w:val="000000"/>
          <w:kern w:val="0"/>
          <w:sz w:val="28"/>
          <w:szCs w:val="28"/>
        </w:rPr>
        <w:t>选手编号:</w:t>
      </w:r>
      <w:r>
        <w:rPr>
          <w:rFonts w:hint="eastAsia" w:ascii="仿宋_GB2312" w:hAnsi="宋体" w:eastAsia="仿宋_GB2312" w:cs="Times New Roman"/>
          <w:color w:val="000000"/>
          <w:kern w:val="0"/>
          <w:sz w:val="28"/>
          <w:szCs w:val="28"/>
          <w:u w:val="single"/>
        </w:rPr>
        <w:t xml:space="preserve">     </w:t>
      </w:r>
      <w:r>
        <w:rPr>
          <w:rFonts w:hint="eastAsia" w:ascii="黑体" w:hAnsi="宋体" w:eastAsia="黑体" w:cs="Times New Roman"/>
          <w:color w:val="000000"/>
          <w:kern w:val="0"/>
          <w:sz w:val="28"/>
          <w:szCs w:val="28"/>
          <w:u w:val="single"/>
        </w:rPr>
        <w:t xml:space="preserve">     </w:t>
      </w:r>
      <w:r>
        <w:rPr>
          <w:rFonts w:hint="eastAsia" w:ascii="黑体" w:hAnsi="宋体" w:eastAsia="黑体" w:cs="Times New Roman"/>
          <w:color w:val="000000"/>
          <w:kern w:val="0"/>
          <w:sz w:val="24"/>
          <w:u w:val="single"/>
        </w:rPr>
        <w:t xml:space="preserve">    </w:t>
      </w:r>
      <w:r>
        <w:rPr>
          <w:rFonts w:hint="eastAsia" w:ascii="黑体" w:hAnsi="宋体" w:eastAsia="黑体" w:cs="Times New Roman"/>
          <w:color w:val="000000"/>
          <w:kern w:val="0"/>
          <w:sz w:val="24"/>
        </w:rPr>
        <w:t xml:space="preserve"> </w:t>
      </w:r>
    </w:p>
    <w:tbl>
      <w:tblPr>
        <w:tblStyle w:val="4"/>
        <w:tblW w:w="0" w:type="auto"/>
        <w:jc w:val="center"/>
        <w:tblLayout w:type="fixed"/>
        <w:tblCellMar>
          <w:top w:w="0" w:type="dxa"/>
          <w:left w:w="108" w:type="dxa"/>
          <w:bottom w:w="0" w:type="dxa"/>
          <w:right w:w="108" w:type="dxa"/>
        </w:tblCellMar>
      </w:tblPr>
      <w:tblGrid>
        <w:gridCol w:w="1117"/>
        <w:gridCol w:w="1095"/>
        <w:gridCol w:w="5411"/>
        <w:gridCol w:w="902"/>
        <w:gridCol w:w="851"/>
      </w:tblGrid>
      <w:tr>
        <w:tblPrEx>
          <w:tblCellMar>
            <w:top w:w="0" w:type="dxa"/>
            <w:left w:w="108" w:type="dxa"/>
            <w:bottom w:w="0" w:type="dxa"/>
            <w:right w:w="108" w:type="dxa"/>
          </w:tblCellMar>
        </w:tblPrEx>
        <w:trPr>
          <w:trHeight w:val="794" w:hRule="atLeast"/>
          <w:jc w:val="center"/>
        </w:trPr>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Times New Roman" w:eastAsia="黑体" w:cs="Times New Roman"/>
                <w:color w:val="000000"/>
                <w:kern w:val="0"/>
                <w:sz w:val="24"/>
              </w:rPr>
            </w:pPr>
            <w:r>
              <w:rPr>
                <w:rFonts w:hint="eastAsia" w:ascii="黑体" w:hAnsi="宋体" w:eastAsia="黑体" w:cs="Times New Roman"/>
                <w:color w:val="000000"/>
                <w:kern w:val="0"/>
                <w:sz w:val="24"/>
              </w:rPr>
              <w:t>项目</w:t>
            </w:r>
          </w:p>
        </w:tc>
        <w:tc>
          <w:tcPr>
            <w:tcW w:w="6506"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Times New Roman" w:eastAsia="黑体" w:cs="Times New Roman"/>
                <w:color w:val="000000"/>
                <w:kern w:val="0"/>
                <w:sz w:val="24"/>
              </w:rPr>
            </w:pPr>
            <w:r>
              <w:rPr>
                <w:rFonts w:hint="eastAsia" w:ascii="黑体" w:hAnsi="宋体" w:eastAsia="黑体" w:cs="Times New Roman"/>
                <w:color w:val="000000"/>
                <w:kern w:val="0"/>
                <w:sz w:val="24"/>
              </w:rPr>
              <w:t>评测要求</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Times New Roman" w:eastAsia="黑体" w:cs="Times New Roman"/>
                <w:color w:val="000000"/>
                <w:kern w:val="0"/>
                <w:sz w:val="24"/>
              </w:rPr>
            </w:pPr>
            <w:r>
              <w:rPr>
                <w:rFonts w:hint="eastAsia" w:ascii="黑体" w:hAnsi="宋体" w:eastAsia="黑体" w:cs="Times New Roman"/>
                <w:color w:val="000000"/>
                <w:kern w:val="0"/>
                <w:sz w:val="24"/>
              </w:rPr>
              <w:t>分值（75）</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Times New Roman" w:eastAsia="黑体" w:cs="Times New Roman"/>
                <w:color w:val="000000"/>
                <w:kern w:val="0"/>
                <w:sz w:val="24"/>
              </w:rPr>
            </w:pPr>
            <w:r>
              <w:rPr>
                <w:rFonts w:hint="eastAsia" w:ascii="黑体" w:hAnsi="宋体" w:eastAsia="黑体" w:cs="Times New Roman"/>
                <w:color w:val="000000"/>
                <w:kern w:val="0"/>
                <w:sz w:val="24"/>
              </w:rPr>
              <w:t xml:space="preserve">得分 </w:t>
            </w:r>
          </w:p>
        </w:tc>
      </w:tr>
      <w:tr>
        <w:tblPrEx>
          <w:tblCellMar>
            <w:top w:w="0" w:type="dxa"/>
            <w:left w:w="108" w:type="dxa"/>
            <w:bottom w:w="0" w:type="dxa"/>
            <w:right w:w="108" w:type="dxa"/>
          </w:tblCellMar>
        </w:tblPrEx>
        <w:trPr>
          <w:trHeight w:val="425" w:hRule="atLeast"/>
          <w:jc w:val="center"/>
        </w:trPr>
        <w:tc>
          <w:tcPr>
            <w:tcW w:w="1117" w:type="dxa"/>
            <w:vMerge w:val="restart"/>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课堂</w:t>
            </w:r>
          </w:p>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教学</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(75分)</w:t>
            </w: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教学</w:t>
            </w:r>
          </w:p>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内容</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(30分)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理论联系实际，符合学生的特点</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8</w:t>
            </w:r>
          </w:p>
        </w:tc>
        <w:tc>
          <w:tcPr>
            <w:tcW w:w="851"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cs="Times New Roman"/>
                <w:color w:val="000000"/>
                <w:kern w:val="0"/>
                <w:sz w:val="24"/>
              </w:rPr>
            </w:pPr>
          </w:p>
          <w:p>
            <w:pPr>
              <w:spacing w:line="300" w:lineRule="exact"/>
              <w:jc w:val="left"/>
              <w:rPr>
                <w:rFonts w:ascii="仿宋_GB2312" w:hAnsi="Times New Roman" w:eastAsia="仿宋_GB2312" w:cs="Times New Roman"/>
                <w:color w:val="000000"/>
                <w:kern w:val="0"/>
                <w:sz w:val="24"/>
              </w:rPr>
            </w:pPr>
          </w:p>
          <w:p>
            <w:pPr>
              <w:spacing w:line="300" w:lineRule="exact"/>
              <w:jc w:val="lef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　</w:t>
            </w:r>
          </w:p>
        </w:tc>
      </w:tr>
      <w:tr>
        <w:tblPrEx>
          <w:tblCellMar>
            <w:top w:w="0" w:type="dxa"/>
            <w:left w:w="108" w:type="dxa"/>
            <w:bottom w:w="0" w:type="dxa"/>
            <w:right w:w="108" w:type="dxa"/>
          </w:tblCellMar>
        </w:tblPrEx>
        <w:trPr>
          <w:trHeight w:val="398"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注重学术性，内容充实，信息量大，渗透专业思想，为教学目标服务</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8</w:t>
            </w:r>
          </w:p>
        </w:tc>
        <w:tc>
          <w:tcPr>
            <w:tcW w:w="85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反映或联系学科发展新思想、新概念、新成果</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3</w:t>
            </w:r>
          </w:p>
        </w:tc>
        <w:tc>
          <w:tcPr>
            <w:tcW w:w="85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spacing w:val="-16"/>
                <w:kern w:val="0"/>
                <w:sz w:val="24"/>
              </w:rPr>
            </w:pPr>
            <w:r>
              <w:rPr>
                <w:rFonts w:hint="eastAsia" w:ascii="仿宋_GB2312" w:hAnsi="宋体" w:eastAsia="仿宋_GB2312" w:cs="Times New Roman"/>
                <w:color w:val="000000"/>
                <w:spacing w:val="-16"/>
                <w:kern w:val="0"/>
                <w:sz w:val="24"/>
              </w:rPr>
              <w:t>重点突出，条理清楚，内容承前启后，循序渐进</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11</w:t>
            </w:r>
          </w:p>
        </w:tc>
        <w:tc>
          <w:tcPr>
            <w:tcW w:w="85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68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教学</w:t>
            </w:r>
          </w:p>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组织</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(30分)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教学过程安排合理，方法运用灵活、恰当，教学设计方案体现完整</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10</w:t>
            </w:r>
          </w:p>
        </w:tc>
        <w:tc>
          <w:tcPr>
            <w:tcW w:w="851" w:type="dxa"/>
            <w:vMerge w:val="restart"/>
            <w:tcBorders>
              <w:top w:val="nil"/>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　</w:t>
            </w:r>
          </w:p>
          <w:p>
            <w:pPr>
              <w:spacing w:line="300" w:lineRule="exact"/>
              <w:jc w:val="lef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　</w:t>
            </w: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启发性强，能有效调动学生思维和学习积极性</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10</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教学时间安排合理，课堂应变能力强</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3</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熟练、有效地运用多媒体等现代教学手段</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4</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68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spacing w:val="-16"/>
                <w:kern w:val="0"/>
                <w:sz w:val="24"/>
              </w:rPr>
            </w:pPr>
            <w:r>
              <w:rPr>
                <w:rFonts w:hint="eastAsia" w:ascii="仿宋_GB2312" w:hAnsi="宋体" w:eastAsia="仿宋_GB2312" w:cs="Times New Roman"/>
                <w:color w:val="000000"/>
                <w:spacing w:val="-16"/>
                <w:kern w:val="0"/>
                <w:sz w:val="24"/>
              </w:rPr>
              <w:t>板书设计与教学内容紧密联系、结构合理，板书与多媒体相配合，简洁、工整、美观、大小适当</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b/>
                <w:bCs/>
                <w:color w:val="000000"/>
                <w:kern w:val="0"/>
                <w:sz w:val="24"/>
              </w:rPr>
            </w:pPr>
            <w:r>
              <w:rPr>
                <w:rFonts w:hint="eastAsia" w:ascii="仿宋_GB2312" w:hAnsi="宋体" w:eastAsia="仿宋_GB2312" w:cs="Times New Roman"/>
                <w:color w:val="000000"/>
                <w:kern w:val="0"/>
                <w:sz w:val="24"/>
              </w:rPr>
              <w:t>3</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68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语言</w:t>
            </w:r>
          </w:p>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教态</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(10分)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普通话讲课，语言清晰、流畅、准确、生动，语速节奏恰当</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5</w:t>
            </w:r>
          </w:p>
        </w:tc>
        <w:tc>
          <w:tcPr>
            <w:tcW w:w="851" w:type="dxa"/>
            <w:vMerge w:val="restart"/>
            <w:tcBorders>
              <w:top w:val="nil"/>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cs="Times New Roman"/>
                <w:color w:val="000000"/>
                <w:kern w:val="0"/>
                <w:sz w:val="24"/>
              </w:rPr>
            </w:pPr>
          </w:p>
          <w:p>
            <w:pPr>
              <w:spacing w:line="300" w:lineRule="exact"/>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肢体语言运用合理、恰当，教态自然大方</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3</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教态仪表自然得体，精神饱满，亲和力强</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2</w:t>
            </w: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1183"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Times New Roman" w:eastAsia="仿宋_GB2312" w:cs="Times New Roman"/>
                <w:color w:val="000000"/>
                <w:kern w:val="0"/>
                <w:sz w:val="24"/>
              </w:rPr>
            </w:pPr>
          </w:p>
        </w:tc>
        <w:tc>
          <w:tcPr>
            <w:tcW w:w="1095" w:type="dxa"/>
            <w:tcBorders>
              <w:top w:val="single" w:color="000000" w:sz="4" w:space="0"/>
              <w:left w:val="nil"/>
              <w:bottom w:val="single" w:color="000000" w:sz="4" w:space="0"/>
              <w:right w:val="nil"/>
            </w:tcBorders>
            <w:noWrap w:val="0"/>
            <w:vAlign w:val="center"/>
          </w:tcPr>
          <w:p>
            <w:pPr>
              <w:spacing w:line="300" w:lineRule="exact"/>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教学</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特色</w:t>
            </w:r>
          </w:p>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(5分)</w:t>
            </w:r>
          </w:p>
        </w:tc>
        <w:tc>
          <w:tcPr>
            <w:tcW w:w="541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spacing w:val="-16"/>
                <w:kern w:val="0"/>
                <w:sz w:val="24"/>
              </w:rPr>
            </w:pPr>
            <w:r>
              <w:rPr>
                <w:rFonts w:hint="eastAsia" w:ascii="仿宋_GB2312" w:hAnsi="宋体" w:eastAsia="仿宋_GB2312" w:cs="Times New Roman"/>
                <w:color w:val="000000"/>
                <w:spacing w:val="-16"/>
                <w:kern w:val="0"/>
                <w:sz w:val="24"/>
              </w:rPr>
              <w:t>教学理念先进、风格突出、感染力强、教学效果好</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5</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cs="Times New Roman"/>
                <w:color w:val="000000"/>
                <w:kern w:val="0"/>
                <w:sz w:val="24"/>
              </w:rPr>
            </w:pPr>
          </w:p>
        </w:tc>
      </w:tr>
      <w:tr>
        <w:tblPrEx>
          <w:tblCellMar>
            <w:top w:w="0" w:type="dxa"/>
            <w:left w:w="108" w:type="dxa"/>
            <w:bottom w:w="0" w:type="dxa"/>
            <w:right w:w="108" w:type="dxa"/>
          </w:tblCellMar>
        </w:tblPrEx>
        <w:trPr>
          <w:trHeight w:val="687" w:hRule="atLeast"/>
          <w:jc w:val="center"/>
        </w:trPr>
        <w:tc>
          <w:tcPr>
            <w:tcW w:w="22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评委签名</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cs="Times New Roman"/>
                <w:color w:val="000000"/>
                <w:kern w:val="0"/>
                <w:sz w:val="24"/>
              </w:rPr>
            </w:pP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cs="Times New Roman"/>
                <w:color w:val="000000"/>
                <w:kern w:val="0"/>
                <w:sz w:val="24"/>
              </w:rPr>
            </w:pPr>
            <w:r>
              <w:rPr>
                <w:rFonts w:hint="eastAsia" w:ascii="仿宋_GB2312" w:hAnsi="宋体" w:eastAsia="仿宋_GB2312" w:cs="Times New Roman"/>
                <w:color w:val="000000"/>
                <w:kern w:val="0"/>
                <w:sz w:val="24"/>
              </w:rPr>
              <w:t>合计得分</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cs="Times New Roman"/>
                <w:color w:val="000000"/>
                <w:kern w:val="0"/>
                <w:sz w:val="24"/>
              </w:rPr>
            </w:pPr>
          </w:p>
        </w:tc>
      </w:tr>
    </w:tbl>
    <w:p>
      <w:pPr>
        <w:ind w:firstLine="150" w:firstLineChars="50"/>
        <w:jc w:val="left"/>
        <w:rPr>
          <w:rFonts w:ascii="楷体_GB2312" w:hAnsi="宋体" w:eastAsia="楷体_GB2312" w:cs="宋体"/>
          <w:bCs/>
          <w:color w:val="000000"/>
          <w:kern w:val="0"/>
          <w:sz w:val="28"/>
          <w:szCs w:val="28"/>
        </w:rPr>
      </w:pPr>
      <w:r>
        <w:rPr>
          <w:rFonts w:hint="eastAsia" w:ascii="黑体" w:hAnsi="宋体" w:eastAsia="黑体" w:cs="宋体"/>
          <w:bCs/>
          <w:color w:val="000000"/>
          <w:kern w:val="0"/>
          <w:sz w:val="28"/>
          <w:szCs w:val="28"/>
        </w:rPr>
        <w:t>注：</w:t>
      </w:r>
      <w:r>
        <w:rPr>
          <w:rFonts w:hint="eastAsia" w:ascii="楷体_GB2312" w:hAnsi="宋体" w:eastAsia="楷体_GB2312" w:cs="宋体"/>
          <w:bCs/>
          <w:color w:val="000000"/>
          <w:kern w:val="0"/>
          <w:sz w:val="28"/>
          <w:szCs w:val="28"/>
        </w:rPr>
        <w:t>评委评分最多保留小数点后两位。</w:t>
      </w:r>
    </w:p>
    <w:p>
      <w:pP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附件3</w:t>
      </w:r>
    </w:p>
    <w:p>
      <w:pPr>
        <w:jc w:val="center"/>
        <w:rPr>
          <w:rFonts w:ascii="文鼎大标宋简" w:hAnsi="Times New Roman" w:eastAsia="文鼎大标宋简" w:cs="Times New Roman"/>
          <w:color w:val="000000"/>
          <w:kern w:val="0"/>
          <w:sz w:val="28"/>
          <w:szCs w:val="28"/>
        </w:rPr>
      </w:pPr>
    </w:p>
    <w:p>
      <w:pPr>
        <w:spacing w:line="480" w:lineRule="exact"/>
        <w:jc w:val="center"/>
        <w:rPr>
          <w:rFonts w:ascii="方正小标宋简体" w:hAnsi="华文中宋" w:eastAsia="方正小标宋简体"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第四届四川省高校青年教师教学竞赛决赛</w:t>
      </w:r>
    </w:p>
    <w:p>
      <w:pPr>
        <w:spacing w:line="480" w:lineRule="exact"/>
        <w:jc w:val="center"/>
        <w:rPr>
          <w:rFonts w:ascii="文鼎大标宋简" w:hAnsi="华文中宋" w:eastAsia="文鼎大标宋简"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教学反思评分表</w:t>
      </w:r>
    </w:p>
    <w:p>
      <w:pPr>
        <w:widowControl/>
        <w:spacing w:line="240" w:lineRule="atLeast"/>
        <w:ind w:firstLine="167" w:firstLineChars="56"/>
        <w:jc w:val="left"/>
        <w:rPr>
          <w:rFonts w:ascii="仿宋_GB2312" w:hAnsi="宋体" w:eastAsia="仿宋_GB2312" w:cs="Times New Roman"/>
          <w:color w:val="000000"/>
          <w:kern w:val="0"/>
          <w:sz w:val="28"/>
          <w:szCs w:val="28"/>
        </w:rPr>
      </w:pPr>
    </w:p>
    <w:p>
      <w:pPr>
        <w:widowControl/>
        <w:spacing w:line="240" w:lineRule="atLeast"/>
        <w:ind w:firstLine="167" w:firstLineChars="56"/>
        <w:jc w:val="lef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选手编号：</w:t>
      </w:r>
      <w:r>
        <w:rPr>
          <w:rFonts w:hint="eastAsia" w:ascii="仿宋_GB2312" w:hAnsi="宋体" w:eastAsia="仿宋_GB2312" w:cs="Times New Roman"/>
          <w:color w:val="000000"/>
          <w:kern w:val="0"/>
          <w:sz w:val="28"/>
          <w:szCs w:val="28"/>
          <w:u w:val="single"/>
        </w:rPr>
        <w:t xml:space="preserve">     </w:t>
      </w:r>
      <w:r>
        <w:rPr>
          <w:rFonts w:hint="eastAsia" w:ascii="黑体" w:hAnsi="宋体" w:eastAsia="黑体" w:cs="Times New Roman"/>
          <w:color w:val="000000"/>
          <w:kern w:val="0"/>
          <w:sz w:val="28"/>
          <w:szCs w:val="28"/>
          <w:u w:val="single"/>
        </w:rPr>
        <w:t xml:space="preserve">     </w:t>
      </w:r>
      <w:r>
        <w:rPr>
          <w:rFonts w:hint="eastAsia" w:ascii="黑体" w:hAnsi="宋体" w:eastAsia="黑体" w:cs="Times New Roman"/>
          <w:color w:val="000000"/>
          <w:kern w:val="0"/>
          <w:sz w:val="24"/>
          <w:u w:val="single"/>
        </w:rPr>
        <w:t xml:space="preserve">    </w:t>
      </w:r>
      <w:r>
        <w:rPr>
          <w:rFonts w:hint="eastAsia" w:ascii="黑体" w:hAnsi="宋体" w:eastAsia="黑体" w:cs="Times New Roman"/>
          <w:color w:val="000000"/>
          <w:kern w:val="0"/>
          <w:sz w:val="24"/>
        </w:rPr>
        <w:t xml:space="preserve"> </w:t>
      </w:r>
    </w:p>
    <w:tbl>
      <w:tblPr>
        <w:tblStyle w:val="4"/>
        <w:tblW w:w="0" w:type="auto"/>
        <w:jc w:val="center"/>
        <w:tblLayout w:type="fixed"/>
        <w:tblCellMar>
          <w:top w:w="0" w:type="dxa"/>
          <w:left w:w="108" w:type="dxa"/>
          <w:bottom w:w="0" w:type="dxa"/>
          <w:right w:w="108" w:type="dxa"/>
        </w:tblCellMar>
      </w:tblPr>
      <w:tblGrid>
        <w:gridCol w:w="1532"/>
        <w:gridCol w:w="4690"/>
        <w:gridCol w:w="1260"/>
        <w:gridCol w:w="1307"/>
      </w:tblGrid>
      <w:tr>
        <w:tblPrEx>
          <w:tblCellMar>
            <w:top w:w="0" w:type="dxa"/>
            <w:left w:w="108" w:type="dxa"/>
            <w:bottom w:w="0" w:type="dxa"/>
            <w:right w:w="108" w:type="dxa"/>
          </w:tblCellMar>
        </w:tblPrEx>
        <w:trPr>
          <w:trHeight w:val="748"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黑体" w:hAnsi="Times New Roman" w:eastAsia="黑体" w:cs="Times New Roman"/>
                <w:bCs/>
                <w:color w:val="000000"/>
                <w:kern w:val="0"/>
                <w:sz w:val="28"/>
                <w:szCs w:val="28"/>
              </w:rPr>
            </w:pPr>
            <w:r>
              <w:rPr>
                <w:rFonts w:hint="eastAsia" w:ascii="黑体" w:hAnsi="宋体" w:eastAsia="黑体" w:cs="Times New Roman"/>
                <w:bCs/>
                <w:color w:val="000000"/>
                <w:kern w:val="0"/>
                <w:sz w:val="28"/>
                <w:szCs w:val="28"/>
              </w:rPr>
              <w:t>项目</w:t>
            </w:r>
          </w:p>
        </w:tc>
        <w:tc>
          <w:tcPr>
            <w:tcW w:w="469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hAnsi="Times New Roman" w:eastAsia="黑体" w:cs="Times New Roman"/>
                <w:bCs/>
                <w:color w:val="000000"/>
                <w:kern w:val="0"/>
                <w:sz w:val="28"/>
                <w:szCs w:val="28"/>
              </w:rPr>
            </w:pPr>
            <w:r>
              <w:rPr>
                <w:rFonts w:hint="eastAsia" w:ascii="黑体" w:hAnsi="宋体" w:eastAsia="黑体" w:cs="Times New Roman"/>
                <w:bCs/>
                <w:color w:val="000000"/>
                <w:kern w:val="0"/>
                <w:sz w:val="28"/>
                <w:szCs w:val="28"/>
              </w:rPr>
              <w:t>评测要求</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hAnsi="Times New Roman" w:eastAsia="黑体" w:cs="Times New Roman"/>
                <w:bCs/>
                <w:color w:val="000000"/>
                <w:kern w:val="0"/>
                <w:sz w:val="28"/>
                <w:szCs w:val="28"/>
              </w:rPr>
            </w:pPr>
            <w:r>
              <w:rPr>
                <w:rFonts w:hint="eastAsia" w:ascii="黑体" w:hAnsi="宋体" w:eastAsia="黑体" w:cs="Times New Roman"/>
                <w:bCs/>
                <w:color w:val="000000"/>
                <w:kern w:val="0"/>
                <w:sz w:val="28"/>
                <w:szCs w:val="28"/>
              </w:rPr>
              <w:t>分值（5）</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hAnsi="Times New Roman" w:eastAsia="黑体" w:cs="Times New Roman"/>
                <w:bCs/>
                <w:color w:val="000000"/>
                <w:kern w:val="0"/>
                <w:sz w:val="28"/>
                <w:szCs w:val="28"/>
              </w:rPr>
            </w:pPr>
            <w:r>
              <w:rPr>
                <w:rFonts w:hint="eastAsia" w:ascii="黑体" w:hAnsi="宋体" w:eastAsia="黑体" w:cs="Times New Roman"/>
                <w:bCs/>
                <w:color w:val="000000"/>
                <w:kern w:val="0"/>
                <w:sz w:val="28"/>
                <w:szCs w:val="28"/>
              </w:rPr>
              <w:t>得分</w:t>
            </w:r>
          </w:p>
        </w:tc>
      </w:tr>
      <w:tr>
        <w:tblPrEx>
          <w:tblCellMar>
            <w:top w:w="0" w:type="dxa"/>
            <w:left w:w="108" w:type="dxa"/>
            <w:bottom w:w="0" w:type="dxa"/>
            <w:right w:w="108" w:type="dxa"/>
          </w:tblCellMar>
        </w:tblPrEx>
        <w:trPr>
          <w:trHeight w:val="2017"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教学</w:t>
            </w:r>
          </w:p>
          <w:p>
            <w:pPr>
              <w:widowControl/>
              <w:spacing w:line="50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反思</w:t>
            </w:r>
          </w:p>
          <w:p>
            <w:pPr>
              <w:widowControl/>
              <w:spacing w:line="50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(5分)</w:t>
            </w:r>
          </w:p>
        </w:tc>
        <w:tc>
          <w:tcPr>
            <w:tcW w:w="4690"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从教学理念、教学方法、教学过程三方面着手，做到联系实际、思路清晰、观点明确、文理通顺，有感而发。</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5</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157"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仿宋_GB2312" w:hAnsi="Times New Roman" w:eastAsia="仿宋_GB2312" w:cs="Times New Roman"/>
                <w:color w:val="000000"/>
                <w:kern w:val="0"/>
                <w:sz w:val="28"/>
                <w:szCs w:val="28"/>
              </w:rPr>
            </w:pPr>
            <w:r>
              <w:rPr>
                <w:rFonts w:hint="eastAsia" w:ascii="仿宋_GB2312" w:hAnsi="宋体" w:eastAsia="仿宋_GB2312" w:cs="Times New Roman"/>
                <w:color w:val="000000"/>
                <w:kern w:val="0"/>
                <w:sz w:val="28"/>
                <w:szCs w:val="28"/>
              </w:rPr>
              <w:t>评委签名</w:t>
            </w:r>
          </w:p>
        </w:tc>
        <w:tc>
          <w:tcPr>
            <w:tcW w:w="7257" w:type="dxa"/>
            <w:gridSpan w:val="3"/>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仿宋_GB2312" w:hAnsi="Times New Roman" w:eastAsia="仿宋_GB2312" w:cs="Times New Roman"/>
                <w:color w:val="000000"/>
                <w:kern w:val="0"/>
                <w:sz w:val="28"/>
                <w:szCs w:val="28"/>
              </w:rPr>
            </w:pPr>
          </w:p>
        </w:tc>
      </w:tr>
    </w:tbl>
    <w:p>
      <w:pPr>
        <w:ind w:firstLine="150" w:firstLineChars="50"/>
        <w:jc w:val="left"/>
        <w:rPr>
          <w:rFonts w:ascii="楷体_GB2312" w:hAnsi="宋体" w:eastAsia="楷体_GB2312" w:cs="宋体"/>
          <w:bCs/>
          <w:color w:val="000000"/>
          <w:kern w:val="0"/>
          <w:sz w:val="28"/>
          <w:szCs w:val="28"/>
        </w:rPr>
      </w:pPr>
      <w:r>
        <w:rPr>
          <w:rFonts w:hint="eastAsia" w:ascii="黑体" w:hAnsi="宋体" w:eastAsia="黑体" w:cs="宋体"/>
          <w:bCs/>
          <w:color w:val="000000"/>
          <w:kern w:val="0"/>
          <w:sz w:val="28"/>
          <w:szCs w:val="28"/>
        </w:rPr>
        <w:t>注：</w:t>
      </w:r>
      <w:r>
        <w:rPr>
          <w:rFonts w:hint="eastAsia" w:ascii="楷体_GB2312" w:hAnsi="宋体" w:eastAsia="楷体_GB2312" w:cs="宋体"/>
          <w:bCs/>
          <w:color w:val="000000"/>
          <w:kern w:val="0"/>
          <w:sz w:val="28"/>
          <w:szCs w:val="28"/>
        </w:rPr>
        <w:t>评委评分最多保留小数点后两位。</w:t>
      </w:r>
    </w:p>
    <w:p>
      <w:pPr>
        <w:ind w:firstLine="300" w:firstLineChars="100"/>
        <w:jc w:val="left"/>
        <w:rPr>
          <w:rFonts w:ascii="宋体" w:hAnsi="Times New Roman" w:eastAsia="仿宋_GB2312" w:cs="宋体"/>
          <w:bCs/>
          <w:color w:val="000000"/>
          <w:kern w:val="0"/>
          <w:sz w:val="28"/>
          <w:szCs w:val="28"/>
        </w:rPr>
      </w:pPr>
    </w:p>
    <w:p>
      <w:pPr>
        <w:rPr>
          <w:rFonts w:ascii="黑体" w:hAnsi="黑体" w:eastAsia="黑体" w:cs="Times New Roman"/>
          <w:color w:val="000000"/>
          <w:kern w:val="0"/>
          <w:sz w:val="28"/>
          <w:szCs w:val="28"/>
        </w:rPr>
      </w:pPr>
      <w:r>
        <w:rPr>
          <w:rFonts w:hint="eastAsia" w:ascii="黑体" w:hAnsi="黑体" w:eastAsia="黑体" w:cs="Times New Roman"/>
          <w:color w:val="000000"/>
          <w:sz w:val="32"/>
          <w:szCs w:val="32"/>
        </w:rPr>
        <w:br w:type="page"/>
      </w:r>
      <w:r>
        <w:rPr>
          <w:rFonts w:hint="eastAsia" w:ascii="黑体" w:hAnsi="黑体" w:eastAsia="黑体" w:cs="Times New Roman"/>
          <w:color w:val="000000"/>
          <w:kern w:val="0"/>
          <w:sz w:val="28"/>
          <w:szCs w:val="28"/>
        </w:rPr>
        <w:t>附件4</w:t>
      </w:r>
    </w:p>
    <w:p>
      <w:pPr>
        <w:spacing w:line="480" w:lineRule="exact"/>
        <w:jc w:val="center"/>
        <w:rPr>
          <w:rFonts w:ascii="文鼎大标宋简" w:hAnsi="华文中宋" w:eastAsia="文鼎大标宋简" w:cs="宋体"/>
          <w:bCs/>
          <w:color w:val="000000"/>
          <w:kern w:val="0"/>
          <w:sz w:val="36"/>
          <w:szCs w:val="36"/>
        </w:rPr>
      </w:pPr>
    </w:p>
    <w:p>
      <w:pPr>
        <w:spacing w:line="480" w:lineRule="exact"/>
        <w:jc w:val="center"/>
        <w:rPr>
          <w:rFonts w:ascii="方正小标宋简体" w:hAnsi="华文中宋" w:eastAsia="方正小标宋简体" w:cs="宋体"/>
          <w:bCs/>
          <w:color w:val="000000"/>
          <w:kern w:val="0"/>
          <w:sz w:val="36"/>
          <w:szCs w:val="36"/>
        </w:rPr>
      </w:pPr>
      <w:r>
        <w:rPr>
          <w:rFonts w:hint="eastAsia" w:ascii="方正小标宋简体" w:hAnsi="华文中宋" w:eastAsia="方正小标宋简体" w:cs="宋体"/>
          <w:bCs/>
          <w:color w:val="000000"/>
          <w:kern w:val="0"/>
          <w:sz w:val="36"/>
          <w:szCs w:val="36"/>
        </w:rPr>
        <w:t>第四届</w:t>
      </w:r>
      <w:r>
        <w:rPr>
          <w:rFonts w:hint="eastAsia" w:ascii="方正小标宋简体" w:hAnsi="华文中宋" w:eastAsia="方正小标宋简体" w:cs="Times New Roman"/>
          <w:bCs/>
          <w:color w:val="000000"/>
          <w:kern w:val="0"/>
          <w:sz w:val="36"/>
          <w:szCs w:val="36"/>
        </w:rPr>
        <w:t>四川省</w:t>
      </w:r>
      <w:r>
        <w:rPr>
          <w:rFonts w:hint="eastAsia" w:ascii="方正小标宋简体" w:hAnsi="华文中宋" w:eastAsia="方正小标宋简体" w:cs="宋体"/>
          <w:bCs/>
          <w:color w:val="000000"/>
          <w:kern w:val="0"/>
          <w:sz w:val="36"/>
          <w:szCs w:val="36"/>
        </w:rPr>
        <w:t>高校青年教师教学竞赛</w:t>
      </w:r>
    </w:p>
    <w:p>
      <w:pPr>
        <w:spacing w:line="480" w:lineRule="exact"/>
        <w:jc w:val="center"/>
        <w:rPr>
          <w:rFonts w:ascii="文鼎大标宋简" w:hAnsi="华文中宋" w:eastAsia="文鼎大标宋简" w:cs="宋体"/>
          <w:bCs/>
          <w:color w:val="000000"/>
          <w:kern w:val="0"/>
          <w:sz w:val="36"/>
          <w:szCs w:val="36"/>
        </w:rPr>
      </w:pPr>
      <w:r>
        <w:rPr>
          <w:rFonts w:hint="eastAsia" w:ascii="方正小标宋简体" w:hAnsi="华文中宋" w:eastAsia="方正小标宋简体" w:cs="宋体"/>
          <w:bCs/>
          <w:color w:val="000000"/>
          <w:kern w:val="0"/>
          <w:sz w:val="36"/>
          <w:szCs w:val="36"/>
        </w:rPr>
        <w:t>决赛选手推荐表</w:t>
      </w:r>
    </w:p>
    <w:p>
      <w:pPr>
        <w:spacing w:line="480" w:lineRule="exact"/>
        <w:jc w:val="center"/>
        <w:rPr>
          <w:rFonts w:ascii="文鼎大标宋简" w:hAnsi="华文中宋" w:eastAsia="文鼎大标宋简" w:cs="宋体"/>
          <w:bCs/>
          <w:color w:val="000000"/>
          <w:kern w:val="0"/>
          <w:sz w:val="36"/>
          <w:szCs w:val="36"/>
        </w:rPr>
      </w:pPr>
    </w:p>
    <w:tbl>
      <w:tblPr>
        <w:tblStyle w:val="4"/>
        <w:tblW w:w="0" w:type="auto"/>
        <w:tblInd w:w="108" w:type="dxa"/>
        <w:tblLayout w:type="fixed"/>
        <w:tblCellMar>
          <w:top w:w="0" w:type="dxa"/>
          <w:left w:w="108" w:type="dxa"/>
          <w:bottom w:w="0" w:type="dxa"/>
          <w:right w:w="108" w:type="dxa"/>
        </w:tblCellMar>
      </w:tblPr>
      <w:tblGrid>
        <w:gridCol w:w="1701"/>
        <w:gridCol w:w="1404"/>
        <w:gridCol w:w="805"/>
        <w:gridCol w:w="950"/>
        <w:gridCol w:w="385"/>
        <w:gridCol w:w="535"/>
        <w:gridCol w:w="457"/>
        <w:gridCol w:w="53"/>
        <w:gridCol w:w="910"/>
        <w:gridCol w:w="1640"/>
      </w:tblGrid>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姓    名</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性别</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43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最高学历</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贴</w:t>
            </w:r>
            <w:r>
              <w:rPr>
                <w:rFonts w:ascii="Times New Roman" w:hAnsi="Times New Roman" w:eastAsia="仿宋_GB2312" w:cs="Times New Roman"/>
                <w:color w:val="000000"/>
                <w:kern w:val="0"/>
                <w:sz w:val="24"/>
              </w:rPr>
              <w:t> </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照</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片</w:t>
            </w: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 xml:space="preserve">出生年月   </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职称</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430" w:type="dxa"/>
            <w:gridSpan w:val="4"/>
            <w:tcBorders>
              <w:top w:val="single" w:color="000000" w:sz="4" w:space="0"/>
              <w:left w:val="nil"/>
              <w:bottom w:val="nil"/>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最高学位</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毕业学校</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870" w:type="dxa"/>
            <w:gridSpan w:val="3"/>
            <w:tcBorders>
              <w:top w:val="single" w:color="000000" w:sz="4" w:space="0"/>
              <w:left w:val="nil"/>
              <w:bottom w:val="nil"/>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参加工作时间</w:t>
            </w:r>
          </w:p>
        </w:tc>
        <w:tc>
          <w:tcPr>
            <w:tcW w:w="142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身份证号</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992"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民族</w:t>
            </w:r>
          </w:p>
        </w:tc>
        <w:tc>
          <w:tcPr>
            <w:tcW w:w="963"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从教学校</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联系电话</w:t>
            </w: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Times New Roman" w:hAnsi="Times New Roman" w:eastAsia="仿宋_GB2312" w:cs="Times New Roman"/>
                <w:color w:val="000000"/>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参赛学科</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组    别</w:t>
            </w:r>
          </w:p>
        </w:tc>
        <w:tc>
          <w:tcPr>
            <w:tcW w:w="16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1572"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学习工作</w:t>
            </w:r>
          </w:p>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简历</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（大学开始）</w:t>
            </w:r>
          </w:p>
        </w:tc>
        <w:tc>
          <w:tcPr>
            <w:tcW w:w="7139" w:type="dxa"/>
            <w:gridSpan w:val="9"/>
            <w:tcBorders>
              <w:top w:val="single" w:color="000000" w:sz="4" w:space="0"/>
              <w:left w:val="nil"/>
              <w:bottom w:val="single" w:color="000000" w:sz="4" w:space="0"/>
              <w:right w:val="single" w:color="000000" w:sz="4" w:space="0"/>
            </w:tcBorders>
            <w:noWrap w:val="0"/>
            <w:vAlign w:val="top"/>
          </w:tcPr>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p>
            <w:pPr>
              <w:widowControl/>
              <w:spacing w:line="400" w:lineRule="exact"/>
              <w:ind w:firstLine="6120"/>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395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近两年主讲</w:t>
            </w:r>
          </w:p>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课程情况</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Times New Roman" w:eastAsia="仿宋_GB2312" w:cs="Times New Roman"/>
                <w:color w:val="000000"/>
                <w:kern w:val="0"/>
                <w:sz w:val="24"/>
              </w:rPr>
            </w:pPr>
          </w:p>
          <w:p>
            <w:pPr>
              <w:widowControl/>
              <w:spacing w:line="400" w:lineRule="exact"/>
              <w:jc w:val="center"/>
              <w:rPr>
                <w:rFonts w:ascii="宋体" w:hAnsi="Times New Roman" w:eastAsia="仿宋_GB2312" w:cs="Times New Roman"/>
                <w:color w:val="000000"/>
                <w:kern w:val="0"/>
                <w:sz w:val="24"/>
              </w:rPr>
            </w:pPr>
          </w:p>
        </w:tc>
      </w:tr>
      <w:tr>
        <w:tblPrEx>
          <w:tblCellMar>
            <w:top w:w="0" w:type="dxa"/>
            <w:left w:w="108" w:type="dxa"/>
            <w:bottom w:w="0" w:type="dxa"/>
            <w:right w:w="108" w:type="dxa"/>
          </w:tblCellMar>
        </w:tblPrEx>
        <w:trPr>
          <w:trHeight w:val="1739"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r>
              <w:rPr>
                <w:rFonts w:hint="eastAsia" w:ascii="宋体" w:hAnsi="宋体" w:eastAsia="仿宋_GB2312" w:cs="Times New Roman"/>
                <w:color w:val="000000"/>
                <w:kern w:val="0"/>
                <w:sz w:val="24"/>
              </w:rPr>
              <w:t>发表教学论文著作</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Times New Roman" w:hAnsi="Times New Roman" w:eastAsia="仿宋_GB2312" w:cs="Times New Roman"/>
                <w:color w:val="000000"/>
                <w:kern w:val="0"/>
                <w:sz w:val="24"/>
              </w:rPr>
            </w:pPr>
          </w:p>
          <w:p>
            <w:pPr>
              <w:widowControl/>
              <w:spacing w:line="400" w:lineRule="exact"/>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073"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主</w:t>
            </w:r>
            <w:r>
              <w:rPr>
                <w:rFonts w:hint="eastAsia" w:ascii="宋体" w:hAnsi="宋体" w:eastAsia="仿宋_GB2312" w:cs="Times New Roman"/>
                <w:color w:val="000000"/>
                <w:spacing w:val="-12"/>
                <w:kern w:val="0"/>
                <w:sz w:val="24"/>
              </w:rPr>
              <w:t>持、参</w:t>
            </w:r>
            <w:r>
              <w:rPr>
                <w:rFonts w:hint="eastAsia" w:ascii="宋体" w:hAnsi="宋体" w:eastAsia="仿宋_GB2312" w:cs="Times New Roman"/>
                <w:color w:val="000000"/>
                <w:kern w:val="0"/>
                <w:sz w:val="24"/>
              </w:rPr>
              <w:t>与教学改革项目</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Times New Roman" w:eastAsia="仿宋_GB2312" w:cs="Times New Roman"/>
                <w:color w:val="000000"/>
                <w:kern w:val="0"/>
                <w:sz w:val="24"/>
              </w:rPr>
            </w:pPr>
          </w:p>
        </w:tc>
      </w:tr>
      <w:tr>
        <w:tblPrEx>
          <w:tblCellMar>
            <w:top w:w="0" w:type="dxa"/>
            <w:left w:w="108" w:type="dxa"/>
            <w:bottom w:w="0" w:type="dxa"/>
            <w:right w:w="108" w:type="dxa"/>
          </w:tblCellMar>
        </w:tblPrEx>
        <w:trPr>
          <w:trHeight w:val="240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教学奖励</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trHeight w:val="262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Times New Roman" w:eastAsia="仿宋_GB2312" w:cs="Times New Roman"/>
                <w:color w:val="000000"/>
                <w:kern w:val="0"/>
                <w:sz w:val="24"/>
              </w:rPr>
              <w:t>所在高校</w:t>
            </w:r>
          </w:p>
          <w:p>
            <w:pPr>
              <w:widowControl/>
              <w:spacing w:line="400" w:lineRule="exact"/>
              <w:jc w:val="center"/>
              <w:rPr>
                <w:rFonts w:ascii="宋体" w:hAnsi="Times New Roman" w:eastAsia="仿宋_GB2312" w:cs="Times New Roman"/>
                <w:color w:val="000000"/>
                <w:kern w:val="0"/>
                <w:sz w:val="24"/>
              </w:rPr>
            </w:pPr>
            <w:r>
              <w:rPr>
                <w:rFonts w:hint="eastAsia" w:ascii="宋体" w:hAnsi="Times New Roman" w:eastAsia="仿宋_GB2312" w:cs="Times New Roman"/>
                <w:color w:val="000000"/>
                <w:kern w:val="0"/>
                <w:sz w:val="24"/>
              </w:rPr>
              <w:t>工会意见</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 xml:space="preserve">         </w:t>
            </w:r>
          </w:p>
          <w:p>
            <w:pPr>
              <w:widowControl/>
              <w:spacing w:afterLines="20"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盖  章</w:t>
            </w:r>
          </w:p>
          <w:p>
            <w:pPr>
              <w:widowControl/>
              <w:spacing w:afterLines="20"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 xml:space="preserve">             2018年  月  日</w:t>
            </w:r>
          </w:p>
        </w:tc>
      </w:tr>
      <w:tr>
        <w:tblPrEx>
          <w:tblCellMar>
            <w:top w:w="0" w:type="dxa"/>
            <w:left w:w="108" w:type="dxa"/>
            <w:bottom w:w="0" w:type="dxa"/>
            <w:right w:w="108" w:type="dxa"/>
          </w:tblCellMar>
        </w:tblPrEx>
        <w:trPr>
          <w:trHeight w:val="262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Times New Roman" w:eastAsia="仿宋_GB2312" w:cs="Times New Roman"/>
                <w:color w:val="000000"/>
                <w:kern w:val="0"/>
                <w:sz w:val="24"/>
              </w:rPr>
            </w:pPr>
            <w:r>
              <w:rPr>
                <w:rFonts w:hint="eastAsia" w:ascii="宋体" w:hAnsi="宋体" w:eastAsia="仿宋_GB2312" w:cs="Times New Roman"/>
                <w:color w:val="000000"/>
                <w:kern w:val="0"/>
                <w:sz w:val="24"/>
              </w:rPr>
              <w:t>所在高校</w:t>
            </w:r>
          </w:p>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意见</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盖  章</w:t>
            </w:r>
          </w:p>
          <w:p>
            <w:pPr>
              <w:widowControl/>
              <w:spacing w:line="400" w:lineRule="exact"/>
              <w:jc w:val="center"/>
              <w:rPr>
                <w:rFonts w:ascii="宋体" w:hAnsi="宋体" w:eastAsia="仿宋_GB2312" w:cs="Times New Roman"/>
                <w:color w:val="000000"/>
                <w:kern w:val="0"/>
                <w:sz w:val="24"/>
              </w:rPr>
            </w:pPr>
            <w:r>
              <w:rPr>
                <w:rFonts w:hint="eastAsia" w:ascii="宋体" w:hAnsi="宋体" w:eastAsia="仿宋_GB2312" w:cs="Times New Roman"/>
                <w:color w:val="000000"/>
                <w:kern w:val="0"/>
                <w:sz w:val="24"/>
              </w:rPr>
              <w:t xml:space="preserve">             2018年  月  日</w:t>
            </w:r>
          </w:p>
        </w:tc>
      </w:tr>
    </w:tbl>
    <w:p>
      <w:pPr>
        <w:widowControl/>
        <w:jc w:val="left"/>
        <w:rPr>
          <w:rFonts w:ascii="华文仿宋" w:hAnsi="华文仿宋" w:eastAsia="华文仿宋" w:cs="Times New Roman"/>
          <w:color w:val="000000"/>
          <w:sz w:val="32"/>
          <w:szCs w:val="32"/>
        </w:rPr>
        <w:sectPr>
          <w:footerReference r:id="rId3" w:type="default"/>
          <w:pgSz w:w="11907" w:h="16840"/>
          <w:pgMar w:top="1871" w:right="1531" w:bottom="1474" w:left="1531" w:header="0" w:footer="1701" w:gutter="0"/>
          <w:pgNumType w:fmt="numberInDash"/>
          <w:cols w:space="720" w:num="1"/>
          <w:docGrid w:type="linesAndChars" w:linePitch="585" w:charSpace="4135"/>
        </w:sectPr>
      </w:pPr>
    </w:p>
    <w:p>
      <w:pPr>
        <w:rPr>
          <w:rFonts w:ascii="黑体" w:hAnsi="黑体" w:eastAsia="黑体" w:cs="Times New Roman"/>
          <w:color w:val="000000"/>
          <w:sz w:val="28"/>
          <w:szCs w:val="28"/>
        </w:rPr>
      </w:pPr>
      <w:r>
        <w:rPr>
          <w:rFonts w:hint="eastAsia" w:ascii="黑体" w:hAnsi="黑体" w:eastAsia="黑体" w:cs="Times New Roman"/>
          <w:color w:val="000000"/>
          <w:sz w:val="28"/>
          <w:szCs w:val="28"/>
        </w:rPr>
        <w:t>附件5</w:t>
      </w:r>
    </w:p>
    <w:p>
      <w:pPr>
        <w:jc w:val="center"/>
        <w:rPr>
          <w:rFonts w:ascii="方正小标宋简体" w:hAnsi="Times New Roman" w:eastAsia="方正小标宋简体" w:cs="Times New Roman"/>
          <w:color w:val="000000"/>
          <w:sz w:val="36"/>
          <w:szCs w:val="36"/>
        </w:rPr>
      </w:pPr>
      <w:r>
        <w:rPr>
          <w:rFonts w:hint="eastAsia" w:ascii="方正小标宋简体" w:hAnsi="黑体" w:eastAsia="方正小标宋简体" w:cs="Times New Roman"/>
          <w:color w:val="000000"/>
          <w:sz w:val="36"/>
          <w:szCs w:val="36"/>
        </w:rPr>
        <w:t>第四届</w:t>
      </w:r>
      <w:r>
        <w:rPr>
          <w:rFonts w:hint="eastAsia" w:ascii="方正小标宋简体" w:hAnsi="华文中宋" w:eastAsia="方正小标宋简体" w:cs="Times New Roman"/>
          <w:bCs/>
          <w:color w:val="000000"/>
          <w:kern w:val="0"/>
          <w:sz w:val="36"/>
          <w:szCs w:val="36"/>
        </w:rPr>
        <w:t>四川省</w:t>
      </w:r>
      <w:r>
        <w:rPr>
          <w:rFonts w:hint="eastAsia" w:ascii="方正小标宋简体" w:hAnsi="黑体" w:eastAsia="方正小标宋简体" w:cs="Times New Roman"/>
          <w:color w:val="000000"/>
          <w:sz w:val="36"/>
          <w:szCs w:val="36"/>
        </w:rPr>
        <w:t>高校青年教师教学竞赛预赛人员汇总表</w:t>
      </w:r>
    </w:p>
    <w:p>
      <w:pPr>
        <w:jc w:val="left"/>
        <w:rPr>
          <w:rFonts w:ascii="Times New Roman" w:hAnsi="Times New Roman" w:eastAsia="仿宋_GB2312" w:cs="Times New Roman"/>
          <w:color w:val="000000"/>
          <w:sz w:val="32"/>
          <w:u w:val="single"/>
        </w:rPr>
      </w:pPr>
      <w:r>
        <w:rPr>
          <w:rFonts w:hint="eastAsia" w:ascii="宋体" w:hAnsi="宋体" w:eastAsia="宋体" w:cs="Times New Roman"/>
          <w:b/>
          <w:color w:val="000000"/>
          <w:sz w:val="32"/>
          <w:szCs w:val="32"/>
        </w:rPr>
        <w:t>高校全称：</w:t>
      </w:r>
      <w:r>
        <w:rPr>
          <w:rFonts w:hint="eastAsia" w:ascii="宋体" w:hAnsi="宋体" w:eastAsia="宋体" w:cs="Times New Roman"/>
          <w:b/>
          <w:color w:val="000000"/>
          <w:sz w:val="32"/>
          <w:szCs w:val="32"/>
          <w:u w:val="single"/>
        </w:rPr>
        <w:t xml:space="preserve">                      　　　　（盖章）</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96"/>
        <w:gridCol w:w="709"/>
        <w:gridCol w:w="4678"/>
        <w:gridCol w:w="2126"/>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序号</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性别</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工作单位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职称/职务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联系方式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选手光盘</w:t>
            </w:r>
          </w:p>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文科选手</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理科选手</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工科选手</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思想政治理</w:t>
            </w:r>
          </w:p>
          <w:p>
            <w:pPr>
              <w:spacing w:line="28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论课选手</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报送材料</w:t>
            </w:r>
          </w:p>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联系人</w:t>
            </w:r>
          </w:p>
        </w:tc>
        <w:tc>
          <w:tcPr>
            <w:tcW w:w="1265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Times New Roman"/>
                <w:color w:val="000000"/>
                <w:sz w:val="28"/>
                <w:szCs w:val="28"/>
              </w:rPr>
            </w:pPr>
            <w:r>
              <w:rPr>
                <w:rFonts w:hint="eastAsia" w:ascii="仿宋" w:hAnsi="仿宋" w:eastAsia="仿宋" w:cs="Times New Roman"/>
                <w:color w:val="000000"/>
                <w:sz w:val="28"/>
                <w:szCs w:val="28"/>
              </w:rPr>
              <w:t>姓名：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本科独立院校上级工会意见并盖章</w:t>
            </w:r>
          </w:p>
        </w:tc>
        <w:tc>
          <w:tcPr>
            <w:tcW w:w="1265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Times New Roman"/>
                <w:color w:val="000000"/>
                <w:sz w:val="28"/>
                <w:szCs w:val="28"/>
              </w:rPr>
            </w:pPr>
          </w:p>
        </w:tc>
      </w:tr>
    </w:tbl>
    <w:p>
      <w:pPr>
        <w:jc w:val="left"/>
        <w:rPr>
          <w:rFonts w:ascii="华文仿宋" w:hAnsi="华文仿宋" w:eastAsia="华文仿宋" w:cs="华文仿宋"/>
          <w:color w:val="000000"/>
          <w:sz w:val="28"/>
          <w:szCs w:val="28"/>
        </w:rPr>
      </w:pPr>
      <w:r>
        <w:rPr>
          <w:rFonts w:hint="eastAsia" w:ascii="Times New Roman" w:hAnsi="Times New Roman" w:eastAsia="仿宋_GB2312" w:cs="Times New Roman"/>
          <w:color w:val="000000"/>
          <w:sz w:val="32"/>
        </w:rPr>
        <w:t>注：</w:t>
      </w:r>
      <w:r>
        <w:rPr>
          <w:rFonts w:hint="eastAsia" w:ascii="华文仿宋" w:hAnsi="华文仿宋" w:eastAsia="华文仿宋" w:cs="华文仿宋"/>
          <w:color w:val="000000"/>
          <w:sz w:val="28"/>
          <w:szCs w:val="28"/>
        </w:rPr>
        <w:t>“选手光盘编号”为选手预赛材料在光盘中位置编号，固定为文科选手1号、理科选手2号、工科选手3号、思想政治理论课选手4号（预赛材料不得出现选手姓名等任何信息）。</w:t>
      </w:r>
    </w:p>
    <w:p>
      <w:pPr>
        <w:jc w:val="left"/>
        <w:rPr>
          <w:rFonts w:ascii="黑体" w:hAnsi="黑体" w:eastAsia="黑体" w:cs="Times New Roman"/>
          <w:color w:val="000000"/>
          <w:sz w:val="28"/>
          <w:szCs w:val="28"/>
        </w:rPr>
      </w:pPr>
    </w:p>
    <w:p>
      <w:pPr>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附件6</w:t>
      </w:r>
    </w:p>
    <w:p>
      <w:pPr>
        <w:jc w:val="center"/>
        <w:rPr>
          <w:rFonts w:ascii="方正小标宋简体" w:hAnsi="Times New Roman" w:eastAsia="方正小标宋简体" w:cs="Times New Roman"/>
          <w:color w:val="000000"/>
          <w:sz w:val="36"/>
          <w:szCs w:val="36"/>
        </w:rPr>
      </w:pPr>
      <w:r>
        <w:rPr>
          <w:rFonts w:hint="eastAsia" w:ascii="方正小标宋简体" w:hAnsi="黑体" w:eastAsia="方正小标宋简体" w:cs="Times New Roman"/>
          <w:color w:val="000000"/>
          <w:sz w:val="36"/>
          <w:szCs w:val="36"/>
        </w:rPr>
        <w:t>第四届</w:t>
      </w:r>
      <w:r>
        <w:rPr>
          <w:rFonts w:hint="eastAsia" w:ascii="方正小标宋简体" w:hAnsi="华文中宋" w:eastAsia="方正小标宋简体" w:cs="Times New Roman"/>
          <w:bCs/>
          <w:color w:val="000000"/>
          <w:kern w:val="0"/>
          <w:sz w:val="36"/>
          <w:szCs w:val="36"/>
        </w:rPr>
        <w:t>四川省</w:t>
      </w:r>
      <w:r>
        <w:rPr>
          <w:rFonts w:hint="eastAsia" w:ascii="方正小标宋简体" w:hAnsi="黑体" w:eastAsia="方正小标宋简体" w:cs="Times New Roman"/>
          <w:color w:val="000000"/>
          <w:sz w:val="36"/>
          <w:szCs w:val="36"/>
        </w:rPr>
        <w:t>高校青年教师教学竞赛决赛人员汇总表</w:t>
      </w:r>
    </w:p>
    <w:p>
      <w:pPr>
        <w:jc w:val="left"/>
        <w:rPr>
          <w:rFonts w:ascii="Times New Roman" w:hAnsi="Times New Roman" w:eastAsia="仿宋_GB2312" w:cs="Times New Roman"/>
          <w:color w:val="000000"/>
          <w:sz w:val="32"/>
          <w:u w:val="single"/>
        </w:rPr>
      </w:pPr>
      <w:r>
        <w:rPr>
          <w:rFonts w:hint="eastAsia" w:ascii="宋体" w:hAnsi="宋体" w:eastAsia="宋体" w:cs="Times New Roman"/>
          <w:b/>
          <w:color w:val="000000"/>
          <w:sz w:val="32"/>
          <w:szCs w:val="32"/>
        </w:rPr>
        <w:t>高校全称：</w:t>
      </w:r>
      <w:r>
        <w:rPr>
          <w:rFonts w:hint="eastAsia" w:ascii="宋体" w:hAnsi="宋体" w:eastAsia="宋体" w:cs="Times New Roman"/>
          <w:b/>
          <w:color w:val="000000"/>
          <w:sz w:val="32"/>
          <w:szCs w:val="32"/>
          <w:u w:val="single"/>
        </w:rPr>
        <w:t xml:space="preserve">                      　　　（盖章）</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536"/>
        <w:gridCol w:w="709"/>
        <w:gridCol w:w="4678"/>
        <w:gridCol w:w="2126"/>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序号</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性别</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工作单位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职称/职务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联系方式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是否清真/饮食禁忌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领  队</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文科选手</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理科选手</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工科选手</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思想政治理论课选手</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选拔赛情况</w:t>
            </w:r>
          </w:p>
        </w:tc>
        <w:tc>
          <w:tcPr>
            <w:tcW w:w="1259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本校青年教师总人数：　　　　　参加选拔赛人数：　　　　　参赛人数占总人数比例：</w:t>
            </w:r>
          </w:p>
        </w:tc>
      </w:tr>
    </w:tbl>
    <w:p>
      <w:pPr>
        <w:jc w:val="left"/>
        <w:rPr>
          <w:rFonts w:ascii="华文仿宋" w:hAnsi="华文仿宋" w:eastAsia="华文仿宋" w:cs="华文仿宋"/>
          <w:color w:val="000000"/>
          <w:sz w:val="28"/>
          <w:szCs w:val="28"/>
        </w:rPr>
      </w:pPr>
      <w:r>
        <w:rPr>
          <w:rFonts w:hint="eastAsia" w:ascii="Times New Roman" w:hAnsi="Times New Roman" w:eastAsia="仿宋_GB2312" w:cs="Times New Roman"/>
          <w:color w:val="000000"/>
          <w:sz w:val="32"/>
        </w:rPr>
        <w:t>注：</w:t>
      </w:r>
      <w:r>
        <w:rPr>
          <w:rFonts w:hint="eastAsia" w:ascii="Times New Roman" w:hAnsi="Times New Roman" w:eastAsia="仿宋_GB2312" w:cs="Times New Roman"/>
          <w:color w:val="000000"/>
          <w:sz w:val="28"/>
          <w:szCs w:val="28"/>
        </w:rPr>
        <w:t>通过网络邮件（</w:t>
      </w:r>
      <w:r>
        <w:rPr>
          <w:rFonts w:ascii="Times New Roman" w:hAnsi="Times New Roman" w:eastAsia="仿宋_GB2312" w:cs="Times New Roman"/>
          <w:color w:val="000000"/>
          <w:sz w:val="28"/>
          <w:szCs w:val="28"/>
        </w:rPr>
        <w:t>2697267@qq.com</w:t>
      </w:r>
      <w:r>
        <w:rPr>
          <w:rFonts w:hint="eastAsia" w:ascii="Times New Roman" w:hAnsi="Times New Roman" w:eastAsia="仿宋_GB2312" w:cs="Times New Roman"/>
          <w:color w:val="000000"/>
          <w:sz w:val="28"/>
          <w:szCs w:val="28"/>
        </w:rPr>
        <w:t>）提交决赛材料时，各校选手决赛材料的位置编号仍然是</w:t>
      </w:r>
      <w:r>
        <w:rPr>
          <w:rFonts w:hint="eastAsia" w:ascii="华文仿宋" w:hAnsi="华文仿宋" w:eastAsia="华文仿宋" w:cs="华文仿宋"/>
          <w:color w:val="000000"/>
          <w:sz w:val="28"/>
          <w:szCs w:val="28"/>
        </w:rPr>
        <w:t>文科选手1号、理科选手2号、工科选手3号、思想政治理论课选手4号（决赛材料不得出现选手姓名等任何信息）。</w:t>
      </w:r>
    </w:p>
    <w:p>
      <w:pPr>
        <w:widowControl/>
        <w:jc w:val="left"/>
        <w:rPr>
          <w:rFonts w:ascii="Times New Roman" w:hAnsi="Times New Roman" w:eastAsia="仿宋_GB2312" w:cs="Times New Roman"/>
          <w:color w:val="000000"/>
          <w:sz w:val="28"/>
          <w:szCs w:val="28"/>
        </w:rPr>
        <w:sectPr>
          <w:pgSz w:w="16840" w:h="11907" w:orient="landscape"/>
          <w:pgMar w:top="1531" w:right="1871" w:bottom="1531" w:left="1474" w:header="0" w:footer="1701" w:gutter="0"/>
          <w:pgNumType w:fmt="numberInDash"/>
          <w:cols w:space="720" w:num="1"/>
          <w:docGrid w:type="linesAndChars" w:linePitch="613" w:charSpace="-842"/>
        </w:sectPr>
      </w:pPr>
    </w:p>
    <w:p>
      <w:pPr>
        <w:rPr>
          <w:rFonts w:ascii="黑体" w:hAnsi="黑体" w:eastAsia="黑体" w:cs="Times New Roman"/>
          <w:color w:val="000000"/>
          <w:sz w:val="32"/>
          <w:szCs w:val="32"/>
        </w:rPr>
      </w:pPr>
      <w:r>
        <w:rPr>
          <w:rFonts w:hint="eastAsia" w:ascii="黑体" w:hAnsi="黑体" w:eastAsia="黑体" w:cs="Times New Roman"/>
          <w:color w:val="000000"/>
          <w:kern w:val="0"/>
          <w:sz w:val="28"/>
          <w:szCs w:val="28"/>
        </w:rPr>
        <w:t>附件7</w:t>
      </w:r>
    </w:p>
    <w:p>
      <w:pPr>
        <w:spacing w:line="480" w:lineRule="exact"/>
        <w:jc w:val="center"/>
        <w:rPr>
          <w:rFonts w:ascii="方正小标宋简体" w:hAnsi="华文中宋" w:eastAsia="方正小标宋简体" w:cs="Times New Roman"/>
          <w:bCs/>
          <w:color w:val="000000"/>
          <w:kern w:val="0"/>
          <w:sz w:val="36"/>
          <w:szCs w:val="36"/>
        </w:rPr>
      </w:pPr>
      <w:r>
        <w:rPr>
          <w:rFonts w:hint="eastAsia" w:ascii="方正小标宋简体" w:hAnsi="华文中宋" w:eastAsia="方正小标宋简体" w:cs="Times New Roman"/>
          <w:bCs/>
          <w:color w:val="000000"/>
          <w:kern w:val="0"/>
          <w:sz w:val="36"/>
          <w:szCs w:val="36"/>
        </w:rPr>
        <w:t>教学节段目录（范例）</w:t>
      </w:r>
    </w:p>
    <w:p>
      <w:pPr>
        <w:jc w:val="center"/>
        <w:rPr>
          <w:rFonts w:ascii="华文中宋" w:hAnsi="华文中宋" w:eastAsia="华文中宋" w:cs="Times New Roman"/>
          <w:bCs/>
          <w:color w:val="000000"/>
          <w:kern w:val="0"/>
          <w:sz w:val="36"/>
          <w:szCs w:val="36"/>
        </w:rPr>
      </w:pPr>
    </w:p>
    <w:p>
      <w:pPr>
        <w:spacing w:line="560" w:lineRule="exact"/>
        <w:ind w:firstLine="56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《遗传学》教学大纲基本教学内容包含 13 章，此次教学设计的 20 个节段分别选自第 1、3、4、5、7、8、9、10、11、12 等 10 章。</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  性取向的遗传分析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选自第一章：遗传与变异/第三节：遗传学的研究策略与方法</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2.  人类进化的遗传分析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选自第一章：遗传与变异/第四节：身边的遗传学案例</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3.  复等位基因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选自第三章：孟德尔遗传的拓展/第二节：复等位基因</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4.  线粒体遗传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选自第三章：孟德尔遗传的拓展 / 第六节：核外遗传</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5.  “三位一体”的基因概念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选自第四章：基因概念的发展/第一节：基因概念的产生与早期发展</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6.  基因可跳跃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选自第四章：基因概念的发展/第二节：基因概念在分子水平的发展</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7.  基因诊断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选自第五章：连锁与交换/第三节：分子遗传标记与基因诊断</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8.  染色体倒位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选自第七章：染色体畸变/第二节：染色体结构变异</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9.  染色体重复与易位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选自第七章：染色体畸变/第二节：染色体结构变异</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10.  非整倍体与人类疾病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选自第七章：染色体畸变/第三节：染色体数目变异</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11.  病毒基因组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选自第八章：基因组/第一节：基因组概论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12.  后基因组时代的研究工作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选自第八章：基因组/第五节：后基因组时代的研究工作</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13.  大肠杆菌的转录中调控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选自第九章：基因表达调控/第一节：原核细胞的基因表达调控 II</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14.  真核细胞的转录中调控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选自第九章：基因表达调控/第二节：真核细胞的基因表达调控</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15.  RNA 介导的基因沉默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选自第九章：基因表达调控/第四节：表观遗传调控</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16.  果蝇早期胚胎发育中的关键调节基因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选自第十章：基因与发育/第二节：果蝇胚胎发育的遗传分析</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17.  人类的性别决定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选自第十章：基因与发育/第五节：性别决定</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18.  遗传分析的基本策略与方法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选自第十一章：遗传分析方法/第一节：遗传分析的基本策略与方法</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19.  人类单基因性状的基因克隆 </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选自第十一章：遗传分析方法/第二节：人类单基因性状的基因克隆</w:t>
      </w:r>
    </w:p>
    <w:p>
      <w:pPr>
        <w:spacing w:line="560" w:lineRule="exact"/>
        <w:ind w:firstLine="560" w:firstLineChars="200"/>
        <w:rPr>
          <w:rFonts w:ascii="仿宋_GB2312" w:hAnsi="宋体" w:eastAsia="仿宋_GB2312" w:cs="Times New Roman"/>
          <w:color w:val="000000"/>
          <w:kern w:val="0"/>
          <w:sz w:val="28"/>
          <w:szCs w:val="28"/>
        </w:rPr>
      </w:pPr>
      <w:r>
        <w:rPr>
          <w:rFonts w:hint="eastAsia" w:ascii="仿宋_GB2312" w:hAnsi="宋体" w:eastAsia="仿宋_GB2312" w:cs="Times New Roman"/>
          <w:color w:val="000000"/>
          <w:kern w:val="0"/>
          <w:sz w:val="28"/>
          <w:szCs w:val="28"/>
        </w:rPr>
        <w:t xml:space="preserve">20.  肿瘤相关基因 </w:t>
      </w:r>
    </w:p>
    <w:p>
      <w:pPr>
        <w:widowControl/>
        <w:spacing w:line="560" w:lineRule="exact"/>
        <w:ind w:firstLine="560" w:firstLineChars="200"/>
        <w:rPr>
          <w:rFonts w:ascii="黑体" w:hAnsi="黑体" w:eastAsia="黑体" w:cs="Times New Roman"/>
          <w:color w:val="000000"/>
          <w:kern w:val="0"/>
          <w:sz w:val="28"/>
          <w:szCs w:val="28"/>
        </w:rPr>
      </w:pPr>
      <w:r>
        <w:rPr>
          <w:rFonts w:hint="eastAsia" w:ascii="仿宋_GB2312" w:hAnsi="宋体" w:eastAsia="仿宋_GB2312" w:cs="Times New Roman"/>
          <w:color w:val="000000"/>
          <w:kern w:val="0"/>
          <w:sz w:val="28"/>
          <w:szCs w:val="28"/>
        </w:rPr>
        <w:t>选自第十二章：肿瘤生物学/第二节：肿瘤发生发展中的遗传学</w:t>
      </w: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jc w:val="left"/>
        <w:rPr>
          <w:rFonts w:ascii="Times New Roman" w:hAnsi="Times New Roman" w:eastAsia="仿宋_GB2312" w:cs="Times New Roman"/>
          <w:color w:val="000000"/>
          <w:sz w:val="32"/>
          <w:u w:val="single"/>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32"/>
        </w:rPr>
      </w:pP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pStyle w:val="7"/>
        <w:spacing w:line="600" w:lineRule="exact"/>
        <w:rPr>
          <w:rFonts w:hint="eastAsia" w:ascii="仿宋_GB2312" w:eastAsia="仿宋_GB2312"/>
          <w:color w:val="000000"/>
          <w:sz w:val="28"/>
          <w:szCs w:val="28"/>
          <w:lang w:val="en-US" w:eastAsia="zh-CN"/>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3400" cy="0"/>
                <wp:effectExtent l="0" t="0" r="0" b="0"/>
                <wp:wrapNone/>
                <wp:docPr id="2" name="直线 4"/>
                <wp:cNvGraphicFramePr/>
                <a:graphic xmlns:a="http://schemas.openxmlformats.org/drawingml/2006/main">
                  <a:graphicData uri="http://schemas.microsoft.com/office/word/2010/wordprocessingShape">
                    <wps:wsp>
                      <wps:cNvSp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42pt;z-index:251659264;mso-width-relative:page;mso-height-relative:page;" filled="f" stroked="t" coordsize="21600,21600" o:gfxdata="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zpwndAAAAACAQAADwAAAAAAAAABACAAAAAiAAAAZHJzL2Rvd25y&#10;ZXYueG1sUEsBAhQAFAAAAAgAh07iQOK0Zb/NAQAAjQMAAA4AAAAAAAAAAQAgAAAAHwEAAGRycy9l&#10;Mm9Eb2MueG1sUEsFBgAAAAAGAAYAWQEAAF4FAAAAAA==&#10;">
                <v:fill on="f" focussize="0,0"/>
                <v:stroke color="#000000" joinstyle="round"/>
                <v:imagedata o:title=""/>
                <o:lock v:ext="edit" aspectratio="f"/>
              </v:line>
            </w:pict>
          </mc:Fallback>
        </mc:AlternateContent>
      </w:r>
      <w:r>
        <w:rPr>
          <w:rFonts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371475</wp:posOffset>
                </wp:positionV>
                <wp:extent cx="5613400" cy="0"/>
                <wp:effectExtent l="0" t="0" r="0" b="0"/>
                <wp:wrapNone/>
                <wp:docPr id="1" name="直线 5"/>
                <wp:cNvGraphicFramePr/>
                <a:graphic xmlns:a="http://schemas.openxmlformats.org/drawingml/2006/main">
                  <a:graphicData uri="http://schemas.microsoft.com/office/word/2010/wordprocessingShape">
                    <wps:wsp>
                      <wps:cNvSp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9.25pt;height:0pt;width:442pt;z-index:251658240;mso-width-relative:page;mso-height-relative:page;" filled="f" stroked="t" coordsize="21600,21600" o:gfxdata="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70kjfUAAAABgEAAA8AAAAAAAAAAQAgAAAAIgAAAGRycy9k&#10;b3ducmV2LnhtbFBLAQIUABQAAAAIAIdO4kAFXYwszQEAAI0DAAAOAAAAAAAAAAEAIAAAACMBAABk&#10;cnMvZTJvRG9jLnhtbFBLBQYAAAAABgAGAFkBAABi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四川省总工会办公室                    </w:t>
      </w:r>
      <w:r>
        <w:rPr>
          <w:rFonts w:hint="eastAsia" w:ascii="仿宋_GB2312" w:eastAsia="仿宋_GB2312"/>
          <w:color w:val="000000"/>
          <w:sz w:val="28"/>
          <w:szCs w:val="28"/>
          <w:lang w:val="en-US" w:eastAsia="zh-CN"/>
        </w:rPr>
        <w:t>2018年4月28日印发</w:t>
      </w:r>
    </w:p>
    <w:sectPr>
      <w:footerReference r:id="rId6" w:type="firs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长城黑体">
    <w:altName w:val="黑体"/>
    <w:panose1 w:val="02010609000101010101"/>
    <w:charset w:val="00"/>
    <w:family w:val="auto"/>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2010609010101010101"/>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35</w:t>
    </w:r>
    <w:r>
      <w:rPr>
        <w:rFonts w:ascii="仿宋" w:hAnsi="仿宋" w:eastAsia="仿宋"/>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23 -</w:t>
    </w:r>
    <w:r>
      <w:rPr>
        <w:rFonts w:ascii="仿宋" w:hAnsi="仿宋" w:eastAsia="仿宋"/>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423F2"/>
    <w:rsid w:val="00032818"/>
    <w:rsid w:val="000661A5"/>
    <w:rsid w:val="000F2D7F"/>
    <w:rsid w:val="00173A80"/>
    <w:rsid w:val="00223168"/>
    <w:rsid w:val="002333AD"/>
    <w:rsid w:val="002570F7"/>
    <w:rsid w:val="00317373"/>
    <w:rsid w:val="003F06E3"/>
    <w:rsid w:val="00462F20"/>
    <w:rsid w:val="004A0D5D"/>
    <w:rsid w:val="004A21CC"/>
    <w:rsid w:val="004C6124"/>
    <w:rsid w:val="004D6EDC"/>
    <w:rsid w:val="00541D4C"/>
    <w:rsid w:val="00546D57"/>
    <w:rsid w:val="00552ED8"/>
    <w:rsid w:val="00556719"/>
    <w:rsid w:val="005E7728"/>
    <w:rsid w:val="00605B35"/>
    <w:rsid w:val="006249E8"/>
    <w:rsid w:val="006E44F7"/>
    <w:rsid w:val="006E5A6A"/>
    <w:rsid w:val="007222B6"/>
    <w:rsid w:val="007814BE"/>
    <w:rsid w:val="00825E69"/>
    <w:rsid w:val="00827B5D"/>
    <w:rsid w:val="00832017"/>
    <w:rsid w:val="008E2E70"/>
    <w:rsid w:val="008F558C"/>
    <w:rsid w:val="0093530C"/>
    <w:rsid w:val="009E5D37"/>
    <w:rsid w:val="00B02410"/>
    <w:rsid w:val="00B43616"/>
    <w:rsid w:val="00B5659C"/>
    <w:rsid w:val="00B91827"/>
    <w:rsid w:val="00B94E75"/>
    <w:rsid w:val="00B95C62"/>
    <w:rsid w:val="00B960C8"/>
    <w:rsid w:val="00BE5DAF"/>
    <w:rsid w:val="00C23221"/>
    <w:rsid w:val="00C70DD7"/>
    <w:rsid w:val="00C837AC"/>
    <w:rsid w:val="00D31A7B"/>
    <w:rsid w:val="00D80BA6"/>
    <w:rsid w:val="00D856B7"/>
    <w:rsid w:val="00DB375E"/>
    <w:rsid w:val="00E87C2C"/>
    <w:rsid w:val="00F474AB"/>
    <w:rsid w:val="00F703EF"/>
    <w:rsid w:val="00FB06AC"/>
    <w:rsid w:val="00FF1C5E"/>
    <w:rsid w:val="01A10BD0"/>
    <w:rsid w:val="03DA40B4"/>
    <w:rsid w:val="05D755B9"/>
    <w:rsid w:val="06807CB9"/>
    <w:rsid w:val="0DE17A36"/>
    <w:rsid w:val="11900039"/>
    <w:rsid w:val="14B05CA2"/>
    <w:rsid w:val="14CB6FEE"/>
    <w:rsid w:val="16742CD5"/>
    <w:rsid w:val="18B00943"/>
    <w:rsid w:val="197670AA"/>
    <w:rsid w:val="19846B5D"/>
    <w:rsid w:val="205820BC"/>
    <w:rsid w:val="21486030"/>
    <w:rsid w:val="21B338DA"/>
    <w:rsid w:val="230206D3"/>
    <w:rsid w:val="237633B9"/>
    <w:rsid w:val="244236F1"/>
    <w:rsid w:val="248E2619"/>
    <w:rsid w:val="24BE7B9F"/>
    <w:rsid w:val="27CF4492"/>
    <w:rsid w:val="29B95F70"/>
    <w:rsid w:val="2B051290"/>
    <w:rsid w:val="2CA861C8"/>
    <w:rsid w:val="3174223E"/>
    <w:rsid w:val="34E04638"/>
    <w:rsid w:val="367A3D16"/>
    <w:rsid w:val="369E0AD3"/>
    <w:rsid w:val="37E80761"/>
    <w:rsid w:val="39731B1F"/>
    <w:rsid w:val="3A6754D2"/>
    <w:rsid w:val="40B52D57"/>
    <w:rsid w:val="4128421C"/>
    <w:rsid w:val="54911CA6"/>
    <w:rsid w:val="5570158E"/>
    <w:rsid w:val="56593C87"/>
    <w:rsid w:val="5D3423F2"/>
    <w:rsid w:val="5E3B5E48"/>
    <w:rsid w:val="5EC3106F"/>
    <w:rsid w:val="60CC1136"/>
    <w:rsid w:val="64B358DB"/>
    <w:rsid w:val="674E6DE5"/>
    <w:rsid w:val="6753269C"/>
    <w:rsid w:val="69702D29"/>
    <w:rsid w:val="6A2C0EB7"/>
    <w:rsid w:val="6D535020"/>
    <w:rsid w:val="6DCF101C"/>
    <w:rsid w:val="6E9607A7"/>
    <w:rsid w:val="6EC41ADC"/>
    <w:rsid w:val="6F391E3A"/>
    <w:rsid w:val="722C293E"/>
    <w:rsid w:val="746C02A5"/>
    <w:rsid w:val="7EFB0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qFormat/>
    <w:uiPriority w:val="2"/>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无间隔2"/>
    <w:qFormat/>
    <w:uiPriority w:val="2"/>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脚 Char"/>
    <w:basedOn w:val="6"/>
    <w:link w:val="2"/>
    <w:qFormat/>
    <w:uiPriority w:val="99"/>
    <w:rPr>
      <w:rFonts w:ascii="Calibri" w:hAnsi="Calibri" w:eastAsia="宋体" w:cs="Times New Roman"/>
      <w:kern w:val="2"/>
      <w:sz w:val="18"/>
      <w:szCs w:val="18"/>
    </w:rPr>
  </w:style>
  <w:style w:type="character" w:customStyle="1" w:styleId="10">
    <w:name w:val="页眉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36</Pages>
  <Words>1862</Words>
  <Characters>10615</Characters>
  <Lines>88</Lines>
  <Paragraphs>24</Paragraphs>
  <TotalTime>22</TotalTime>
  <ScaleCrop>false</ScaleCrop>
  <LinksUpToDate>false</LinksUpToDate>
  <CharactersWithSpaces>12453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2018-05-08T07:35:00Z</dcterms:created>
  <dc:creator>净心</dc:creator>
  <cp:lastModifiedBy>HP</cp:lastModifiedBy>
  <cp:lastPrinted>2018-05-09T03:01:00Z</cp:lastPrinted>
  <dcterms:modified xsi:type="dcterms:W3CDTF">2020-01-16T03:30:04Z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