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32"/>
          <w:szCs w:val="32"/>
          <w:u w:val="none"/>
          <w:shd w:val="clear" w:fill="FFFFFF"/>
          <w:lang w:val="en-US" w:eastAsia="zh-CN" w:bidi="ar"/>
        </w:rPr>
        <w:t>关于</w:t>
      </w:r>
      <w:r>
        <w:rPr>
          <w:rFonts w:ascii="Arial" w:hAnsi="Arial" w:eastAsia="宋体" w:cs="Arial"/>
          <w:b/>
          <w:i w:val="0"/>
          <w:caps w:val="0"/>
          <w:color w:val="000000"/>
          <w:spacing w:val="0"/>
          <w:kern w:val="0"/>
          <w:sz w:val="32"/>
          <w:szCs w:val="32"/>
          <w:u w:val="none"/>
          <w:shd w:val="clear" w:fill="FFFFFF"/>
          <w:lang w:val="en-US" w:eastAsia="zh-CN" w:bidi="ar"/>
        </w:rPr>
        <w:t>201</w:t>
      </w:r>
      <w:r>
        <w:rPr>
          <w:rFonts w:hint="eastAsia" w:ascii="宋体" w:hAnsi="宋体" w:eastAsia="宋体" w:cs="宋体"/>
          <w:b/>
          <w:i w:val="0"/>
          <w:caps w:val="0"/>
          <w:color w:val="000000"/>
          <w:spacing w:val="0"/>
          <w:kern w:val="0"/>
          <w:sz w:val="32"/>
          <w:szCs w:val="32"/>
          <w:u w:val="none"/>
          <w:shd w:val="clear" w:fill="FFFFFF"/>
          <w:lang w:val="en-US" w:eastAsia="zh-CN" w:bidi="ar"/>
        </w:rPr>
        <w:t>8年暑假及秋季学期开学相关工作安排的通知</w:t>
      </w:r>
    </w:p>
    <w:p>
      <w:pPr>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i w:val="0"/>
          <w:caps w:val="0"/>
          <w:color w:val="000000"/>
          <w:spacing w:val="0"/>
          <w:kern w:val="0"/>
          <w:sz w:val="24"/>
          <w:szCs w:val="24"/>
          <w:u w:val="none"/>
          <w:shd w:val="clear" w:fill="FFFFFF"/>
          <w:lang w:val="en-US" w:eastAsia="zh-CN" w:bidi="ar"/>
        </w:rPr>
        <w:t> </w:t>
      </w:r>
    </w:p>
    <w:p>
      <w:pPr>
        <w:keepNext w:val="0"/>
        <w:keepLines w:val="0"/>
        <w:widowControl/>
        <w:suppressLineNumbers w:val="0"/>
        <w:shd w:val="clear" w:fill="FFFFFF"/>
        <w:spacing w:before="0" w:beforeAutospacing="0" w:after="0" w:afterAutospacing="0" w:line="270" w:lineRule="atLeast"/>
        <w:ind w:left="0" w:right="0" w:firstLine="0"/>
        <w:jc w:val="both"/>
        <w:rPr>
          <w:rFonts w:hint="eastAsia" w:ascii="宋体" w:hAnsi="宋体" w:eastAsia="宋体" w:cs="宋体"/>
          <w:b w:val="0"/>
          <w:i w:val="0"/>
          <w:caps w:val="0"/>
          <w:color w:val="000000"/>
          <w:spacing w:val="0"/>
          <w:sz w:val="18"/>
          <w:szCs w:val="18"/>
        </w:rPr>
      </w:pPr>
      <w:r>
        <w:rPr>
          <w:rFonts w:ascii="仿宋" w:hAnsi="仿宋" w:eastAsia="仿宋" w:cs="仿宋"/>
          <w:b w:val="0"/>
          <w:i w:val="0"/>
          <w:caps w:val="0"/>
          <w:color w:val="000000"/>
          <w:spacing w:val="0"/>
          <w:kern w:val="0"/>
          <w:sz w:val="32"/>
          <w:szCs w:val="32"/>
          <w:u w:val="none"/>
          <w:shd w:val="clear" w:fill="FFFFFF"/>
          <w:lang w:val="en-US" w:eastAsia="zh-CN" w:bidi="ar"/>
        </w:rPr>
        <w:t>各系</w:t>
      </w:r>
      <w:r>
        <w:rPr>
          <w:rFonts w:hint="eastAsia" w:ascii="仿宋" w:hAnsi="仿宋" w:eastAsia="仿宋" w:cs="仿宋"/>
          <w:b w:val="0"/>
          <w:i w:val="0"/>
          <w:caps w:val="0"/>
          <w:color w:val="000000"/>
          <w:spacing w:val="0"/>
          <w:kern w:val="0"/>
          <w:sz w:val="32"/>
          <w:szCs w:val="32"/>
          <w:u w:val="none"/>
          <w:shd w:val="clear" w:fill="FFFFFF"/>
          <w:lang w:val="en-US" w:eastAsia="zh-CN" w:bidi="ar"/>
        </w:rPr>
        <w:t>/中心、教研室：</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根据校历和学校工作安排，我校2018年暑假教职工放假时间为7月21日至8月29日，2018年秋季学期教职工正式上班时间为8月30日，9月3日正式开课。现将有关事项通知如下：</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ascii="黑体" w:hAnsi="宋体" w:eastAsia="黑体" w:cs="黑体"/>
          <w:b w:val="0"/>
          <w:i w:val="0"/>
          <w:caps w:val="0"/>
          <w:color w:val="000000"/>
          <w:spacing w:val="0"/>
          <w:kern w:val="0"/>
          <w:sz w:val="32"/>
          <w:szCs w:val="32"/>
          <w:u w:val="none"/>
          <w:shd w:val="clear" w:fill="FFFFFF"/>
          <w:lang w:val="en-US" w:eastAsia="zh-CN" w:bidi="ar"/>
        </w:rPr>
        <w:t>一、</w:t>
      </w:r>
      <w:r>
        <w:rPr>
          <w:rFonts w:hint="eastAsia" w:ascii="黑体" w:hAnsi="宋体" w:eastAsia="黑体" w:cs="黑体"/>
          <w:b w:val="0"/>
          <w:i w:val="0"/>
          <w:caps w:val="0"/>
          <w:color w:val="000000"/>
          <w:spacing w:val="0"/>
          <w:kern w:val="0"/>
          <w:sz w:val="32"/>
          <w:szCs w:val="32"/>
          <w:u w:val="none"/>
          <w:shd w:val="clear" w:fill="FFFFFF"/>
          <w:lang w:val="en-US" w:eastAsia="zh-CN" w:bidi="ar"/>
        </w:rPr>
        <w:t>秋季学期开学须按期返校报到上班。</w:t>
      </w:r>
      <w:r>
        <w:rPr>
          <w:rFonts w:hint="eastAsia" w:ascii="仿宋" w:hAnsi="仿宋" w:eastAsia="仿宋" w:cs="仿宋"/>
          <w:b w:val="0"/>
          <w:i w:val="0"/>
          <w:caps w:val="0"/>
          <w:color w:val="000000"/>
          <w:spacing w:val="0"/>
          <w:kern w:val="0"/>
          <w:sz w:val="32"/>
          <w:szCs w:val="32"/>
          <w:u w:val="none"/>
          <w:shd w:val="clear" w:fill="FFFFFF"/>
          <w:lang w:val="en-US" w:eastAsia="zh-CN" w:bidi="ar"/>
        </w:rPr>
        <w:t>学院将于</w:t>
      </w:r>
      <w:r>
        <w:rPr>
          <w:rFonts w:hint="eastAsia" w:ascii="仿宋" w:hAnsi="仿宋" w:eastAsia="仿宋" w:cs="仿宋"/>
          <w:b/>
          <w:i w:val="0"/>
          <w:caps w:val="0"/>
          <w:color w:val="FF0000"/>
          <w:spacing w:val="0"/>
          <w:kern w:val="0"/>
          <w:sz w:val="32"/>
          <w:szCs w:val="32"/>
          <w:u w:val="none"/>
          <w:shd w:val="clear" w:fill="FFFFFF"/>
          <w:lang w:val="en-US" w:eastAsia="zh-CN" w:bidi="ar"/>
        </w:rPr>
        <w:t>2018年8月30日上午10点在十二桥校区一教一阶召开全院职工大会，请各位教职工务必准时参加。</w:t>
      </w:r>
      <w:r>
        <w:rPr>
          <w:rFonts w:hint="eastAsia" w:ascii="仿宋" w:hAnsi="仿宋" w:eastAsia="仿宋" w:cs="仿宋"/>
          <w:b w:val="0"/>
          <w:i w:val="0"/>
          <w:caps w:val="0"/>
          <w:color w:val="000000"/>
          <w:spacing w:val="0"/>
          <w:kern w:val="0"/>
          <w:sz w:val="32"/>
          <w:szCs w:val="32"/>
          <w:u w:val="none"/>
          <w:shd w:val="clear" w:fill="FFFFFF"/>
          <w:lang w:val="en-US" w:eastAsia="zh-CN" w:bidi="ar"/>
        </w:rPr>
        <w:t>如教职工有特殊情况需要请病假、事假、产假、丧假等，需按学校相关规定履行请假手续，否则按无故旷工处理。</w:t>
      </w:r>
    </w:p>
    <w:p>
      <w:pPr>
        <w:keepNext w:val="0"/>
        <w:keepLines w:val="0"/>
        <w:widowControl/>
        <w:suppressLineNumbers w:val="0"/>
        <w:shd w:val="clear" w:fill="FFFFFF"/>
        <w:spacing w:before="0" w:beforeAutospacing="0" w:after="0" w:afterAutospacing="0"/>
        <w:ind w:left="0" w:right="0" w:firstLine="64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u w:val="none"/>
          <w:shd w:val="clear" w:fill="FFFFFF"/>
          <w:lang w:val="en-US" w:eastAsia="zh-CN" w:bidi="ar"/>
        </w:rPr>
        <w:t>二、强化廉洁意识，做好廉洁工作</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各系/中心、教研室/科室应增强廉洁自律的自觉性，厉行勤俭节约、反对铺张浪费，杜绝节假日腐败，营造崇廉尚俭、风清气正、健康文明的节假日氛围。禁以各种名义违规发放津贴、补贴、奖金和实物；严禁用公款以培训、考察、学习、交流互动的名义参加或者组织干部教师变相旅游；严禁违规组织、参加用公款支付的宴请、高消费娱乐、健身活动；严禁违规用公款购买赠送、发放礼品；严禁违规取得、持有、实际使用健身卡、会所和俱乐部会员卡、高尔夫球卡等各种消费卡，或者违反规定出入私人会所；严禁利用职权或者职务上的影响操办婚丧喜庆事宜；严禁违反规定组织参加自发成立的老乡会、校友会、战友会等；严禁公款旅游、公车私用、私车公养，严格遵守交通法规，真正使中央“八项规定”省委、省政府“十项规定”精神内化于心、外化于行。</w:t>
      </w:r>
    </w:p>
    <w:p>
      <w:pPr>
        <w:keepNext w:val="0"/>
        <w:keepLines w:val="0"/>
        <w:widowControl/>
        <w:suppressLineNumbers w:val="0"/>
        <w:shd w:val="clear" w:fill="FFFFFF"/>
        <w:spacing w:before="0" w:beforeAutospacing="0" w:after="0" w:afterAutospacing="0"/>
        <w:ind w:left="0" w:right="0" w:firstLine="64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u w:val="none"/>
          <w:shd w:val="clear" w:fill="FFFFFF"/>
          <w:lang w:val="en-US" w:eastAsia="zh-CN" w:bidi="ar"/>
        </w:rPr>
        <w:t>三、高度重视，加强教育，落实安全责任</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确保广大师生员工的生命财产安全各单位一定要坚持“安全第一、预防为主、综合治理”的方针，牢固树立"安全线就是生命线"的观念，落实好经常性安全教育和节假日重点防控等各项工作；各单位负责人一定要按照“一岗双责”的要求，增强安全责任意识，切实按照学校对安全稳定工作的要求，把各项防控措施落到实处，确保广大师生员工的生命财产安全。</w:t>
      </w:r>
    </w:p>
    <w:p>
      <w:pPr>
        <w:keepNext w:val="0"/>
        <w:keepLines w:val="0"/>
        <w:widowControl/>
        <w:suppressLineNumbers w:val="0"/>
        <w:shd w:val="clear" w:fill="FFFFFF"/>
        <w:spacing w:before="0" w:beforeAutospacing="0" w:after="0" w:afterAutospacing="0" w:line="270" w:lineRule="atLeast"/>
        <w:ind w:left="0" w:right="0" w:firstLine="36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18"/>
          <w:szCs w:val="18"/>
          <w:u w:val="none"/>
          <w:shd w:val="clear" w:fill="FFFFFF"/>
          <w:lang w:val="en-US" w:eastAsia="zh-CN" w:bidi="ar"/>
        </w:rPr>
        <w:t> </w:t>
      </w:r>
      <w:r>
        <w:rPr>
          <w:rFonts w:hint="eastAsia" w:ascii="黑体" w:hAnsi="宋体" w:eastAsia="黑体" w:cs="黑体"/>
          <w:b w:val="0"/>
          <w:i w:val="0"/>
          <w:caps w:val="0"/>
          <w:color w:val="000000"/>
          <w:spacing w:val="0"/>
          <w:kern w:val="0"/>
          <w:sz w:val="32"/>
          <w:szCs w:val="32"/>
          <w:u w:val="none"/>
          <w:shd w:val="clear" w:fill="FFFFFF"/>
          <w:lang w:val="en-US" w:eastAsia="zh-CN" w:bidi="ar"/>
        </w:rPr>
        <w:t>四、切实加强治安防范工作</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1.放假前，各单位要对责任区域进行一次彻底的安全检查，同时进行一次全员安全教育，将法制、纪律、安全、自护自救技能教育有效结合起来，提高师生的安全防范意识和自护自救能力。</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2.暑假期间加班或值班的工作人员，离开教研室/实验室、办公室时，务必牢记切断电源、水源，锁好门，关好窗。</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3.加强财物管理，各教研室/实验室、办公室一律不得存放现金以及其它贵重物品，贵重物品应存放到具有防范措施的安全地点。</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4.外出学习、返乡探亲和外出旅游的师生，一定要增强自我防范意识，谨防被盗、被骗、被抢。</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u w:val="none"/>
          <w:shd w:val="clear" w:fill="FFFFFF"/>
          <w:lang w:val="en-US" w:eastAsia="zh-CN" w:bidi="ar"/>
        </w:rPr>
        <w:t>五、切实做好消防安全工作</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1.各单位要高度重视消防安全工作，全面落实“防火责任制”，责任落实到岗位与安全责任人。</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2.严格执行各项安全防火规定。各教研室/实验室、办公室放假前务必清除杂物和易燃品，切断所有电源，特别是重点防火部位，要落实各项安全防火规定。</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3.放假前学院将对全院范围内进行全面的安全防火检查，及时发现和消除各类隐患。</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4.加强对消防安全教育和管理。各系/中心、教研室/实验室、办公室，务必对本单位师生进行一个消防安全教育与消防安全防范警示提醒，以消除安全隐患。</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u w:val="none"/>
          <w:shd w:val="clear" w:fill="FFFFFF"/>
          <w:lang w:val="en-US" w:eastAsia="zh-CN" w:bidi="ar"/>
        </w:rPr>
        <w:t>六、切实做好外出学习或旅游安全工作</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1.各单位组织师生外出学习，按照“谁组织、谁负责”的原则，严密组织，周密安排，制订安全措施，明确组织或带队人员的责任，防止意外事故发生。师生自行安排外出旅游、访友，务必注意人身、财产安全。</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2.暑假期间，凡教职工外出（离开成都市），系/中心、教研室主任、党支部书记、工会组长及各职能科室科长，须向学院院长或书记汇报，其他教职工须向其所在教研室/科室主任（科长）汇报，并保持通讯通畅。</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u w:val="none"/>
          <w:shd w:val="clear" w:fill="FFFFFF"/>
          <w:lang w:val="en-US" w:eastAsia="zh-CN" w:bidi="ar"/>
        </w:rPr>
        <w:t>七、切实做好放假前安全检查与稳定情况摸底排查工作</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1.各系/中心、教研室/科室务必于放假前组织安排对本教研室、实验室等进行安全隐患排查，包括水、电、门、窗、消防及易燃、易爆、易制毒化学品的安全管理，并如实完整填写《基础医学院2018年暑假放假前安全稳定情况自查登记表》（附件1），届时领取门窗封条【注：请勿提前粘贴】。放假前学院将对各教研室、实验室进行安全大检查。</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2.实验中心作为安全防患重点部门，务必切实按照学校与学院要求，做好安全稳定防患工作。一是按照要求对中心所辖实验室逐一认真排查安全隐患；二是切实安排好本中心暑假期间值班与加班，一线值班人员要保证在岗、尽职尽责，不得擅离职守或私自找他人替班。</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3.各研究生导师务必按照学校及学院要求，对所指导的研究生进行安全教育管理与安全防范警示提醒，并对暑假期间留校的研究生进行确认登记，完整如实填写《基础医学院2018年暑假期间留校研究生登记表》（附件2），并于2018年7月22日将电子版报送科研科方锐杰。</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4.暑假期间发生各类事故、事件务必在第一时间按照“先口头，后书面”的程序向学院值班领导及时报告（附件3），不得瞒报、迟报或漏报。</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u w:val="none"/>
          <w:shd w:val="clear" w:fill="FFFFFF"/>
          <w:lang w:val="en-US" w:eastAsia="zh-CN" w:bidi="ar"/>
        </w:rPr>
        <w:t>八、做好暑假期间开放实验室的管理工作</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1、加强对易燃、易爆、易制毒化学品的安全管理，对剧毒化学品保管及使用必须坚持和落实双人双管、双人收发、双人使用、双人运输、双人双锁的“五双”制度，严格记录，做到帐物相符。请提前做好危险物品的管理和存放工作，如暑假期间需继续使用的化学药品及危险物品应严格管理并做好使用登记备查。对于假期间不使用的化学药品及危险物品存放应交由采供中心实验材料库房代为保管（或可通知采供中心上门收取，联系电话61800151）。</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2、加强对实验室使用的高压灭菌锅、气瓶等特种设备的管理。做好特种设备使用登记记录，操作人员必须持证作业，熟练掌握安全操作</w:t>
      </w:r>
      <w:bookmarkStart w:id="1" w:name="_GoBack"/>
      <w:bookmarkEnd w:id="1"/>
      <w:r>
        <w:rPr>
          <w:rFonts w:hint="eastAsia" w:ascii="仿宋" w:hAnsi="仿宋" w:eastAsia="仿宋" w:cs="仿宋"/>
          <w:b w:val="0"/>
          <w:i w:val="0"/>
          <w:caps w:val="0"/>
          <w:color w:val="000000"/>
          <w:spacing w:val="0"/>
          <w:kern w:val="0"/>
          <w:sz w:val="32"/>
          <w:szCs w:val="32"/>
          <w:u w:val="none"/>
          <w:shd w:val="clear" w:fill="FFFFFF"/>
          <w:lang w:val="en-US" w:eastAsia="zh-CN" w:bidi="ar"/>
        </w:rPr>
        <w:t>技能，了解设备风险和应对措施。坚决杜绝因无证上岗、违反安全规程操作等产生的安全事故。</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3、实验室要做好水、电、门、窗的安全管理，做好实验室防火、防盗、防突发事件的安全工作，做好贵重物品的妥善管理，对暑假期间不使用的实验室请贴封条。</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kern w:val="0"/>
          <w:sz w:val="32"/>
          <w:szCs w:val="32"/>
          <w:u w:val="none"/>
          <w:shd w:val="clear" w:fill="FFFFFF"/>
          <w:lang w:val="en-US" w:eastAsia="zh-CN" w:bidi="ar"/>
        </w:rPr>
        <w:t>4、暑假前如有实验动物尸体及废弃物需集中处理，请直接与实验室管理科李勇老师联系，电话61800150，并做好交接记录。</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r>
        <w:rPr>
          <w:rFonts w:hint="eastAsia" w:ascii="仿宋" w:hAnsi="仿宋" w:eastAsia="仿宋" w:cs="仿宋"/>
          <w:b w:val="0"/>
          <w:i w:val="0"/>
          <w:caps w:val="0"/>
          <w:color w:val="000000"/>
          <w:spacing w:val="0"/>
          <w:kern w:val="0"/>
          <w:sz w:val="32"/>
          <w:szCs w:val="32"/>
          <w:u w:val="none"/>
          <w:shd w:val="clear" w:fill="FFFFFF"/>
          <w:lang w:val="en-US" w:eastAsia="zh-CN" w:bidi="ar"/>
        </w:rPr>
        <w:t>5、做好暑假期间的值班安排以及开放的实验室管理工作。假期若有实验室开放使用，请务必做好师生的使用登记和安全教育工作。值班人员务必坚守岗位并保持通讯畅通，如有重要情况应及时向学校总值班报告。</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r>
        <w:rPr>
          <w:rFonts w:hint="eastAsia" w:ascii="仿宋" w:hAnsi="仿宋" w:eastAsia="仿宋" w:cs="仿宋"/>
          <w:b w:val="0"/>
          <w:i w:val="0"/>
          <w:caps w:val="0"/>
          <w:color w:val="000000"/>
          <w:spacing w:val="0"/>
          <w:kern w:val="0"/>
          <w:sz w:val="32"/>
          <w:szCs w:val="32"/>
          <w:u w:val="none"/>
          <w:shd w:val="clear" w:fill="FFFFFF"/>
          <w:lang w:val="en-US" w:eastAsia="zh-CN" w:bidi="ar"/>
        </w:rPr>
        <w:t xml:space="preserve">                                    基础医学院</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r>
        <w:rPr>
          <w:rFonts w:hint="eastAsia" w:ascii="仿宋" w:hAnsi="仿宋" w:eastAsia="仿宋" w:cs="仿宋"/>
          <w:b w:val="0"/>
          <w:i w:val="0"/>
          <w:caps w:val="0"/>
          <w:color w:val="000000"/>
          <w:spacing w:val="0"/>
          <w:kern w:val="0"/>
          <w:sz w:val="32"/>
          <w:szCs w:val="32"/>
          <w:u w:val="none"/>
          <w:shd w:val="clear" w:fill="FFFFFF"/>
          <w:lang w:val="en-US" w:eastAsia="zh-CN" w:bidi="ar"/>
        </w:rPr>
        <w:t xml:space="preserve">                                 2018年7月20日</w:t>
      </w: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64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widowControl/>
        <w:jc w:val="center"/>
        <w:rPr>
          <w:rFonts w:hint="eastAsia" w:ascii="宋体" w:cs="宋体"/>
          <w:b/>
          <w:bCs/>
          <w:kern w:val="0"/>
          <w:sz w:val="36"/>
          <w:szCs w:val="36"/>
          <w:lang w:bidi="ar-SA"/>
        </w:rPr>
      </w:pPr>
      <w:r>
        <w:rPr>
          <w:rFonts w:hint="eastAsia" w:ascii="宋体" w:cs="宋体"/>
          <w:b/>
          <w:bCs/>
          <w:kern w:val="0"/>
          <w:sz w:val="36"/>
          <w:szCs w:val="36"/>
          <w:lang w:eastAsia="zh-CN" w:bidi="ar-SA"/>
        </w:rPr>
        <w:t>附件一：</w:t>
      </w:r>
      <w:r>
        <w:rPr>
          <w:rFonts w:hint="eastAsia" w:ascii="宋体" w:cs="宋体"/>
          <w:b/>
          <w:bCs/>
          <w:kern w:val="0"/>
          <w:sz w:val="36"/>
          <w:szCs w:val="36"/>
          <w:lang w:bidi="ar-SA"/>
        </w:rPr>
        <w:t>基础医学院201</w:t>
      </w:r>
      <w:r>
        <w:rPr>
          <w:rFonts w:hint="eastAsia" w:ascii="宋体" w:cs="宋体"/>
          <w:b/>
          <w:bCs/>
          <w:kern w:val="0"/>
          <w:sz w:val="36"/>
          <w:szCs w:val="36"/>
          <w:lang w:val="en-US" w:eastAsia="zh-CN" w:bidi="ar-SA"/>
        </w:rPr>
        <w:t>8</w:t>
      </w:r>
      <w:r>
        <w:rPr>
          <w:rFonts w:hint="eastAsia" w:ascii="宋体" w:cs="宋体"/>
          <w:b/>
          <w:bCs/>
          <w:kern w:val="0"/>
          <w:sz w:val="36"/>
          <w:szCs w:val="36"/>
          <w:lang w:bidi="ar-SA"/>
        </w:rPr>
        <w:t>年</w:t>
      </w:r>
      <w:r>
        <w:rPr>
          <w:rFonts w:hint="eastAsia" w:ascii="宋体" w:cs="宋体"/>
          <w:b/>
          <w:bCs/>
          <w:kern w:val="0"/>
          <w:sz w:val="36"/>
          <w:szCs w:val="36"/>
          <w:lang w:eastAsia="zh-CN" w:bidi="ar-SA"/>
        </w:rPr>
        <w:t>暑假</w:t>
      </w:r>
      <w:r>
        <w:rPr>
          <w:rFonts w:hint="eastAsia" w:ascii="宋体" w:cs="宋体"/>
          <w:b/>
          <w:bCs/>
          <w:kern w:val="0"/>
          <w:sz w:val="36"/>
          <w:szCs w:val="36"/>
          <w:lang w:bidi="ar-SA"/>
        </w:rPr>
        <w:t>放假前安全自查登记表</w:t>
      </w:r>
    </w:p>
    <w:p>
      <w:pPr>
        <w:rPr>
          <w:rFonts w:hint="eastAsia"/>
          <w:sz w:val="28"/>
          <w:szCs w:val="28"/>
        </w:rPr>
      </w:pPr>
      <w:r>
        <w:rPr>
          <w:rFonts w:hint="eastAsia"/>
          <w:sz w:val="28"/>
          <w:szCs w:val="28"/>
        </w:rPr>
        <w:t>系/中心/教研室：          负责人签字：             年  月   日</w:t>
      </w:r>
    </w:p>
    <w:tbl>
      <w:tblPr>
        <w:tblStyle w:val="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76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b/>
                <w:bCs/>
                <w:sz w:val="28"/>
                <w:szCs w:val="28"/>
              </w:rPr>
            </w:pPr>
            <w:r>
              <w:rPr>
                <w:rFonts w:hint="eastAsia"/>
                <w:b/>
                <w:bCs/>
                <w:sz w:val="28"/>
                <w:szCs w:val="28"/>
              </w:rPr>
              <w:t>序号</w:t>
            </w:r>
          </w:p>
        </w:tc>
        <w:tc>
          <w:tcPr>
            <w:tcW w:w="5760" w:type="dxa"/>
            <w:vAlign w:val="center"/>
          </w:tcPr>
          <w:p>
            <w:pPr>
              <w:jc w:val="center"/>
              <w:rPr>
                <w:rFonts w:hint="eastAsia"/>
                <w:b/>
                <w:bCs/>
                <w:sz w:val="28"/>
                <w:szCs w:val="28"/>
              </w:rPr>
            </w:pPr>
            <w:r>
              <w:rPr>
                <w:rFonts w:hint="eastAsia"/>
                <w:b/>
                <w:bCs/>
                <w:sz w:val="28"/>
                <w:szCs w:val="28"/>
              </w:rPr>
              <w:t>自查内容</w:t>
            </w:r>
          </w:p>
        </w:tc>
        <w:tc>
          <w:tcPr>
            <w:tcW w:w="3420" w:type="dxa"/>
            <w:vAlign w:val="center"/>
          </w:tcPr>
          <w:p>
            <w:pPr>
              <w:jc w:val="center"/>
              <w:rPr>
                <w:rFonts w:hint="eastAsia"/>
                <w:b/>
                <w:bCs/>
                <w:sz w:val="28"/>
                <w:szCs w:val="28"/>
              </w:rPr>
            </w:pPr>
            <w:r>
              <w:rPr>
                <w:rFonts w:hint="eastAsia"/>
                <w:b/>
                <w:bCs/>
                <w:sz w:val="28"/>
                <w:szCs w:val="28"/>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1</w:t>
            </w:r>
          </w:p>
        </w:tc>
        <w:tc>
          <w:tcPr>
            <w:tcW w:w="5760" w:type="dxa"/>
            <w:vAlign w:val="top"/>
          </w:tcPr>
          <w:p>
            <w:pPr>
              <w:rPr>
                <w:rFonts w:hint="eastAsia"/>
                <w:sz w:val="28"/>
                <w:szCs w:val="28"/>
              </w:rPr>
            </w:pPr>
            <w:r>
              <w:rPr>
                <w:rFonts w:hint="eastAsia"/>
                <w:sz w:val="28"/>
                <w:szCs w:val="28"/>
              </w:rPr>
              <w:t>有无不稳定因素存在</w:t>
            </w:r>
          </w:p>
        </w:tc>
        <w:tc>
          <w:tcPr>
            <w:tcW w:w="3420" w:type="dxa"/>
            <w:vAlign w:val="center"/>
          </w:tcPr>
          <w:p>
            <w:pPr>
              <w:jc w:val="center"/>
              <w:rPr>
                <w:rFonts w:hint="eastAsia"/>
                <w:sz w:val="28"/>
                <w:szCs w:val="28"/>
              </w:rPr>
            </w:pPr>
            <w:r>
              <w:rPr>
                <w:rFonts w:hint="eastAsia"/>
                <w:sz w:val="28"/>
                <w:szCs w:val="2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2</w:t>
            </w:r>
          </w:p>
        </w:tc>
        <w:tc>
          <w:tcPr>
            <w:tcW w:w="5760" w:type="dxa"/>
            <w:vAlign w:val="top"/>
          </w:tcPr>
          <w:p>
            <w:pPr>
              <w:rPr>
                <w:rFonts w:hint="eastAsia"/>
                <w:sz w:val="28"/>
                <w:szCs w:val="28"/>
              </w:rPr>
            </w:pPr>
            <w:r>
              <w:rPr>
                <w:rFonts w:hint="eastAsia"/>
                <w:sz w:val="28"/>
                <w:szCs w:val="28"/>
              </w:rPr>
              <w:t>重点部位安全防护设施是否完好</w:t>
            </w:r>
          </w:p>
        </w:tc>
        <w:tc>
          <w:tcPr>
            <w:tcW w:w="3420" w:type="dxa"/>
            <w:vAlign w:val="center"/>
          </w:tcPr>
          <w:p>
            <w:pPr>
              <w:jc w:val="center"/>
              <w:rPr>
                <w:rFonts w:hint="eastAsia"/>
                <w:sz w:val="28"/>
                <w:szCs w:val="28"/>
              </w:rPr>
            </w:pPr>
            <w:r>
              <w:rPr>
                <w:rFonts w:hint="eastAsia"/>
                <w:sz w:val="28"/>
                <w:szCs w:val="28"/>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3</w:t>
            </w:r>
          </w:p>
        </w:tc>
        <w:tc>
          <w:tcPr>
            <w:tcW w:w="5760" w:type="dxa"/>
            <w:vAlign w:val="top"/>
          </w:tcPr>
          <w:p>
            <w:pPr>
              <w:rPr>
                <w:rFonts w:hint="eastAsia"/>
                <w:sz w:val="28"/>
                <w:szCs w:val="28"/>
              </w:rPr>
            </w:pPr>
            <w:r>
              <w:rPr>
                <w:rFonts w:hint="eastAsia"/>
                <w:sz w:val="28"/>
                <w:szCs w:val="28"/>
              </w:rPr>
              <w:t>门窗是否完好</w:t>
            </w:r>
          </w:p>
        </w:tc>
        <w:tc>
          <w:tcPr>
            <w:tcW w:w="3420" w:type="dxa"/>
            <w:vAlign w:val="center"/>
          </w:tcPr>
          <w:p>
            <w:pPr>
              <w:jc w:val="center"/>
              <w:rPr>
                <w:rFonts w:hint="eastAsia"/>
                <w:sz w:val="28"/>
                <w:szCs w:val="28"/>
              </w:rPr>
            </w:pPr>
            <w:r>
              <w:rPr>
                <w:rFonts w:hint="eastAsia"/>
                <w:sz w:val="28"/>
                <w:szCs w:val="28"/>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4</w:t>
            </w:r>
          </w:p>
        </w:tc>
        <w:tc>
          <w:tcPr>
            <w:tcW w:w="5760" w:type="dxa"/>
            <w:vAlign w:val="top"/>
          </w:tcPr>
          <w:p>
            <w:pPr>
              <w:rPr>
                <w:rFonts w:hint="eastAsia"/>
                <w:sz w:val="28"/>
                <w:szCs w:val="28"/>
              </w:rPr>
            </w:pPr>
            <w:r>
              <w:rPr>
                <w:rFonts w:hint="eastAsia"/>
                <w:sz w:val="28"/>
                <w:szCs w:val="28"/>
              </w:rPr>
              <w:t>电源线路设备是否老化</w:t>
            </w:r>
          </w:p>
        </w:tc>
        <w:tc>
          <w:tcPr>
            <w:tcW w:w="3420" w:type="dxa"/>
            <w:vAlign w:val="center"/>
          </w:tcPr>
          <w:p>
            <w:pPr>
              <w:jc w:val="center"/>
              <w:rPr>
                <w:rFonts w:hint="eastAsia"/>
                <w:sz w:val="28"/>
                <w:szCs w:val="28"/>
              </w:rPr>
            </w:pPr>
            <w:r>
              <w:rPr>
                <w:rFonts w:hint="eastAsia"/>
                <w:sz w:val="28"/>
                <w:szCs w:val="28"/>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5</w:t>
            </w:r>
          </w:p>
        </w:tc>
        <w:tc>
          <w:tcPr>
            <w:tcW w:w="5760" w:type="dxa"/>
            <w:vAlign w:val="top"/>
          </w:tcPr>
          <w:p>
            <w:pPr>
              <w:rPr>
                <w:rFonts w:hint="eastAsia"/>
                <w:sz w:val="28"/>
                <w:szCs w:val="28"/>
              </w:rPr>
            </w:pPr>
            <w:r>
              <w:rPr>
                <w:rFonts w:hint="eastAsia"/>
                <w:sz w:val="28"/>
                <w:szCs w:val="28"/>
              </w:rPr>
              <w:t>有无违章用电现象</w:t>
            </w:r>
          </w:p>
        </w:tc>
        <w:tc>
          <w:tcPr>
            <w:tcW w:w="3420" w:type="dxa"/>
            <w:vAlign w:val="center"/>
          </w:tcPr>
          <w:p>
            <w:pPr>
              <w:jc w:val="center"/>
              <w:rPr>
                <w:rFonts w:hint="eastAsia"/>
                <w:sz w:val="28"/>
                <w:szCs w:val="28"/>
              </w:rPr>
            </w:pPr>
            <w:r>
              <w:rPr>
                <w:rFonts w:hint="eastAsia"/>
                <w:sz w:val="28"/>
                <w:szCs w:val="2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6</w:t>
            </w:r>
          </w:p>
        </w:tc>
        <w:tc>
          <w:tcPr>
            <w:tcW w:w="5760" w:type="dxa"/>
            <w:vAlign w:val="top"/>
          </w:tcPr>
          <w:p>
            <w:pPr>
              <w:rPr>
                <w:rFonts w:hint="eastAsia"/>
                <w:sz w:val="28"/>
                <w:szCs w:val="28"/>
              </w:rPr>
            </w:pPr>
            <w:r>
              <w:rPr>
                <w:rFonts w:hint="eastAsia"/>
                <w:sz w:val="28"/>
                <w:szCs w:val="28"/>
              </w:rPr>
              <w:t>网络监督制度、网络管理是否落实到位</w:t>
            </w:r>
          </w:p>
        </w:tc>
        <w:tc>
          <w:tcPr>
            <w:tcW w:w="3420" w:type="dxa"/>
            <w:vAlign w:val="center"/>
          </w:tcPr>
          <w:p>
            <w:pPr>
              <w:jc w:val="center"/>
              <w:rPr>
                <w:rFonts w:hint="eastAsia"/>
                <w:sz w:val="28"/>
                <w:szCs w:val="28"/>
              </w:rPr>
            </w:pPr>
            <w:r>
              <w:rPr>
                <w:rFonts w:hint="eastAsia"/>
                <w:sz w:val="28"/>
                <w:szCs w:val="2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jc w:val="center"/>
              <w:rPr>
                <w:rFonts w:hint="eastAsia"/>
                <w:sz w:val="28"/>
                <w:szCs w:val="28"/>
              </w:rPr>
            </w:pPr>
            <w:r>
              <w:rPr>
                <w:rFonts w:hint="eastAsia"/>
                <w:sz w:val="28"/>
                <w:szCs w:val="28"/>
              </w:rPr>
              <w:t>7</w:t>
            </w:r>
          </w:p>
        </w:tc>
        <w:tc>
          <w:tcPr>
            <w:tcW w:w="5760" w:type="dxa"/>
            <w:vAlign w:val="top"/>
          </w:tcPr>
          <w:p>
            <w:pPr>
              <w:rPr>
                <w:rFonts w:hint="eastAsia"/>
                <w:sz w:val="28"/>
                <w:szCs w:val="28"/>
              </w:rPr>
            </w:pPr>
            <w:r>
              <w:rPr>
                <w:rFonts w:hint="eastAsia"/>
                <w:sz w:val="28"/>
                <w:szCs w:val="28"/>
              </w:rPr>
              <w:t>消防设施、设备、器材是否完好有效</w:t>
            </w:r>
          </w:p>
        </w:tc>
        <w:tc>
          <w:tcPr>
            <w:tcW w:w="3420" w:type="dxa"/>
            <w:vAlign w:val="center"/>
          </w:tcPr>
          <w:p>
            <w:pPr>
              <w:jc w:val="center"/>
              <w:rPr>
                <w:rFonts w:hint="eastAsia"/>
                <w:sz w:val="28"/>
                <w:szCs w:val="28"/>
              </w:rPr>
            </w:pPr>
            <w:r>
              <w:rPr>
                <w:rFonts w:hint="eastAsia"/>
                <w:sz w:val="28"/>
                <w:szCs w:val="28"/>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8</w:t>
            </w:r>
          </w:p>
        </w:tc>
        <w:tc>
          <w:tcPr>
            <w:tcW w:w="5760" w:type="dxa"/>
            <w:vAlign w:val="top"/>
          </w:tcPr>
          <w:p>
            <w:pPr>
              <w:rPr>
                <w:rFonts w:hint="eastAsia"/>
                <w:sz w:val="28"/>
                <w:szCs w:val="28"/>
              </w:rPr>
            </w:pPr>
            <w:r>
              <w:rPr>
                <w:rFonts w:hint="eastAsia"/>
                <w:sz w:val="28"/>
                <w:szCs w:val="28"/>
              </w:rPr>
              <w:t>消防通道、疏散出口是否通畅</w:t>
            </w:r>
          </w:p>
        </w:tc>
        <w:tc>
          <w:tcPr>
            <w:tcW w:w="3420" w:type="dxa"/>
            <w:vAlign w:val="center"/>
          </w:tcPr>
          <w:p>
            <w:pPr>
              <w:jc w:val="center"/>
              <w:rPr>
                <w:rFonts w:hint="eastAsia"/>
                <w:sz w:val="28"/>
                <w:szCs w:val="28"/>
              </w:rPr>
            </w:pPr>
            <w:r>
              <w:rPr>
                <w:rFonts w:hint="eastAsia"/>
                <w:sz w:val="28"/>
                <w:szCs w:val="28"/>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9</w:t>
            </w:r>
          </w:p>
        </w:tc>
        <w:tc>
          <w:tcPr>
            <w:tcW w:w="5760" w:type="dxa"/>
            <w:vAlign w:val="top"/>
          </w:tcPr>
          <w:p>
            <w:pPr>
              <w:rPr>
                <w:rFonts w:hint="eastAsia"/>
                <w:sz w:val="28"/>
                <w:szCs w:val="28"/>
              </w:rPr>
            </w:pPr>
            <w:r>
              <w:rPr>
                <w:rFonts w:hint="eastAsia"/>
                <w:sz w:val="28"/>
                <w:szCs w:val="28"/>
              </w:rPr>
              <w:t>有无存放剧毒、易燃易爆、放射性等危险物品</w:t>
            </w:r>
          </w:p>
        </w:tc>
        <w:tc>
          <w:tcPr>
            <w:tcW w:w="3420" w:type="dxa"/>
            <w:vAlign w:val="center"/>
          </w:tcPr>
          <w:p>
            <w:pPr>
              <w:jc w:val="center"/>
              <w:rPr>
                <w:rFonts w:hint="eastAsia"/>
                <w:sz w:val="28"/>
                <w:szCs w:val="28"/>
              </w:rPr>
            </w:pPr>
            <w:r>
              <w:rPr>
                <w:rFonts w:hint="eastAsia"/>
                <w:sz w:val="28"/>
                <w:szCs w:val="2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10</w:t>
            </w:r>
          </w:p>
        </w:tc>
        <w:tc>
          <w:tcPr>
            <w:tcW w:w="5760" w:type="dxa"/>
            <w:vAlign w:val="top"/>
          </w:tcPr>
          <w:p>
            <w:pPr>
              <w:spacing w:line="0" w:lineRule="atLeast"/>
              <w:rPr>
                <w:rFonts w:hint="eastAsia"/>
                <w:sz w:val="28"/>
                <w:szCs w:val="28"/>
              </w:rPr>
            </w:pPr>
            <w:r>
              <w:rPr>
                <w:rFonts w:hint="eastAsia"/>
                <w:sz w:val="28"/>
                <w:szCs w:val="28"/>
              </w:rPr>
              <w:t>剧毒、易燃易爆、放射性等危险物品是否严格按照要求进行管理</w:t>
            </w:r>
          </w:p>
        </w:tc>
        <w:tc>
          <w:tcPr>
            <w:tcW w:w="3420" w:type="dxa"/>
            <w:vAlign w:val="center"/>
          </w:tcPr>
          <w:p>
            <w:pPr>
              <w:spacing w:line="0" w:lineRule="atLeast"/>
              <w:jc w:val="center"/>
              <w:rPr>
                <w:rFonts w:hint="eastAsia"/>
                <w:sz w:val="28"/>
                <w:szCs w:val="28"/>
              </w:rPr>
            </w:pPr>
            <w:r>
              <w:rPr>
                <w:rFonts w:hint="eastAsia"/>
                <w:sz w:val="28"/>
                <w:szCs w:val="28"/>
              </w:rPr>
              <w:t>是（   ）否（   ）</w:t>
            </w:r>
          </w:p>
          <w:p>
            <w:pPr>
              <w:spacing w:line="0" w:lineRule="atLeast"/>
              <w:jc w:val="center"/>
              <w:rPr>
                <w:rFonts w:hint="eastAsia"/>
                <w:sz w:val="28"/>
                <w:szCs w:val="28"/>
              </w:rPr>
            </w:pPr>
            <w:r>
              <w:rPr>
                <w:rFonts w:hint="eastAsia"/>
                <w:sz w:val="28"/>
                <w:szCs w:val="28"/>
              </w:rPr>
              <w:t>无则不填写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jc w:val="center"/>
              <w:rPr>
                <w:rFonts w:hint="eastAsia"/>
                <w:sz w:val="28"/>
                <w:szCs w:val="28"/>
              </w:rPr>
            </w:pPr>
            <w:r>
              <w:rPr>
                <w:rFonts w:hint="eastAsia"/>
                <w:sz w:val="28"/>
                <w:szCs w:val="28"/>
              </w:rPr>
              <w:t>11</w:t>
            </w:r>
          </w:p>
        </w:tc>
        <w:tc>
          <w:tcPr>
            <w:tcW w:w="5760" w:type="dxa"/>
            <w:vAlign w:val="top"/>
          </w:tcPr>
          <w:p>
            <w:pPr>
              <w:rPr>
                <w:rFonts w:hint="eastAsia"/>
                <w:sz w:val="28"/>
                <w:szCs w:val="28"/>
              </w:rPr>
            </w:pPr>
          </w:p>
        </w:tc>
        <w:tc>
          <w:tcPr>
            <w:tcW w:w="3420" w:type="dxa"/>
            <w:vMerge w:val="restart"/>
            <w:vAlign w:val="center"/>
          </w:tcPr>
          <w:p>
            <w:pPr>
              <w:jc w:val="center"/>
              <w:rPr>
                <w:rFonts w:hint="eastAsia"/>
                <w:sz w:val="28"/>
                <w:szCs w:val="28"/>
              </w:rPr>
            </w:pPr>
            <w:r>
              <w:rPr>
                <w:rFonts w:hint="eastAsia"/>
                <w:sz w:val="28"/>
                <w:szCs w:val="28"/>
              </w:rPr>
              <w:t>其他隐患</w:t>
            </w:r>
          </w:p>
          <w:p>
            <w:pPr>
              <w:jc w:val="center"/>
              <w:rPr>
                <w:rFonts w:hint="eastAsia"/>
                <w:sz w:val="28"/>
                <w:szCs w:val="28"/>
              </w:rPr>
            </w:pPr>
            <w:r>
              <w:rPr>
                <w:rFonts w:hint="eastAsia"/>
                <w:sz w:val="28"/>
                <w:szCs w:val="28"/>
              </w:rPr>
              <w:t>请自行填写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8" w:type="dxa"/>
            <w:vAlign w:val="top"/>
          </w:tcPr>
          <w:p>
            <w:pPr>
              <w:jc w:val="center"/>
              <w:rPr>
                <w:rFonts w:hint="eastAsia"/>
                <w:sz w:val="28"/>
                <w:szCs w:val="28"/>
              </w:rPr>
            </w:pPr>
            <w:r>
              <w:rPr>
                <w:rFonts w:hint="eastAsia"/>
                <w:sz w:val="28"/>
                <w:szCs w:val="28"/>
              </w:rPr>
              <w:t>12</w:t>
            </w:r>
          </w:p>
        </w:tc>
        <w:tc>
          <w:tcPr>
            <w:tcW w:w="5760" w:type="dxa"/>
            <w:vAlign w:val="top"/>
          </w:tcPr>
          <w:p>
            <w:pPr>
              <w:rPr>
                <w:rFonts w:hint="eastAsia"/>
                <w:sz w:val="28"/>
                <w:szCs w:val="28"/>
              </w:rPr>
            </w:pPr>
          </w:p>
        </w:tc>
        <w:tc>
          <w:tcPr>
            <w:tcW w:w="342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648" w:type="dxa"/>
            <w:vAlign w:val="top"/>
          </w:tcPr>
          <w:p>
            <w:pPr>
              <w:jc w:val="center"/>
              <w:rPr>
                <w:rFonts w:hint="eastAsia"/>
                <w:sz w:val="28"/>
                <w:szCs w:val="28"/>
              </w:rPr>
            </w:pPr>
            <w:r>
              <w:rPr>
                <w:rFonts w:hint="eastAsia"/>
                <w:sz w:val="28"/>
                <w:szCs w:val="28"/>
              </w:rPr>
              <w:t>13</w:t>
            </w:r>
          </w:p>
        </w:tc>
        <w:tc>
          <w:tcPr>
            <w:tcW w:w="9180" w:type="dxa"/>
            <w:gridSpan w:val="2"/>
            <w:vAlign w:val="top"/>
          </w:tcPr>
          <w:p>
            <w:pPr>
              <w:rPr>
                <w:rFonts w:hint="eastAsia"/>
                <w:sz w:val="28"/>
                <w:szCs w:val="28"/>
              </w:rPr>
            </w:pPr>
            <w:r>
              <w:rPr>
                <w:rFonts w:hint="eastAsia"/>
                <w:sz w:val="28"/>
                <w:szCs w:val="28"/>
              </w:rPr>
              <w:t>存在安全隐患或不稳定因素及应对措施：</w:t>
            </w:r>
          </w:p>
        </w:tc>
      </w:tr>
    </w:tbl>
    <w:p>
      <w:pPr>
        <w:spacing w:after="312" w:afterLines="100"/>
        <w:jc w:val="center"/>
        <w:rPr>
          <w:rFonts w:hint="eastAsia" w:ascii="仿宋_GB2312" w:eastAsia="仿宋_GB2312" w:cs="仿宋_GB2312"/>
          <w:b/>
          <w:bCs/>
          <w:sz w:val="36"/>
          <w:szCs w:val="36"/>
          <w:lang w:eastAsia="zh-CN" w:bidi="ar-SA"/>
        </w:rPr>
      </w:pPr>
    </w:p>
    <w:p>
      <w:pPr>
        <w:spacing w:after="312" w:afterLines="100"/>
        <w:jc w:val="center"/>
        <w:rPr>
          <w:rFonts w:hint="eastAsia" w:ascii="仿宋_GB2312" w:eastAsia="仿宋_GB2312" w:cs="仿宋_GB2312"/>
          <w:b/>
          <w:bCs/>
          <w:sz w:val="36"/>
          <w:szCs w:val="36"/>
          <w:lang w:bidi="ar-SA"/>
        </w:rPr>
      </w:pPr>
      <w:r>
        <w:rPr>
          <w:rFonts w:hint="eastAsia" w:ascii="仿宋_GB2312" w:eastAsia="仿宋_GB2312" w:cs="仿宋_GB2312"/>
          <w:b/>
          <w:bCs/>
          <w:sz w:val="36"/>
          <w:szCs w:val="36"/>
          <w:lang w:eastAsia="zh-CN" w:bidi="ar-SA"/>
        </w:rPr>
        <w:t>附件</w:t>
      </w:r>
      <w:r>
        <w:rPr>
          <w:rFonts w:hint="eastAsia" w:ascii="仿宋_GB2312" w:eastAsia="仿宋_GB2312" w:cs="仿宋_GB2312"/>
          <w:b/>
          <w:bCs/>
          <w:sz w:val="36"/>
          <w:szCs w:val="36"/>
          <w:lang w:val="en-US" w:eastAsia="zh-CN" w:bidi="ar-SA"/>
        </w:rPr>
        <w:t>2：</w:t>
      </w:r>
      <w:r>
        <w:rPr>
          <w:rFonts w:hint="eastAsia" w:ascii="仿宋_GB2312" w:eastAsia="仿宋_GB2312" w:cs="仿宋_GB2312"/>
          <w:b/>
          <w:bCs/>
          <w:sz w:val="36"/>
          <w:szCs w:val="36"/>
          <w:lang w:bidi="ar-SA"/>
        </w:rPr>
        <w:t>基础医学院201</w:t>
      </w:r>
      <w:r>
        <w:rPr>
          <w:rFonts w:hint="eastAsia" w:ascii="仿宋_GB2312" w:eastAsia="仿宋_GB2312" w:cs="仿宋_GB2312"/>
          <w:b/>
          <w:bCs/>
          <w:sz w:val="36"/>
          <w:szCs w:val="36"/>
          <w:lang w:val="en-US" w:eastAsia="zh-CN" w:bidi="ar-SA"/>
        </w:rPr>
        <w:t>8年暑</w:t>
      </w:r>
      <w:r>
        <w:rPr>
          <w:rFonts w:hint="eastAsia" w:ascii="仿宋_GB2312" w:eastAsia="仿宋_GB2312" w:cs="仿宋_GB2312"/>
          <w:b/>
          <w:bCs/>
          <w:sz w:val="36"/>
          <w:szCs w:val="36"/>
          <w:lang w:bidi="ar-SA"/>
        </w:rPr>
        <w:t>假期间留校研究生登记表</w:t>
      </w:r>
    </w:p>
    <w:tbl>
      <w:tblPr>
        <w:tblStyle w:val="3"/>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644"/>
        <w:gridCol w:w="1645"/>
        <w:gridCol w:w="1645"/>
        <w:gridCol w:w="163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644" w:type="dxa"/>
            <w:vAlign w:val="top"/>
          </w:tcPr>
          <w:p>
            <w:pPr>
              <w:jc w:val="center"/>
              <w:rPr>
                <w:rFonts w:hint="eastAsia" w:ascii="仿宋_GB2312" w:eastAsia="仿宋_GB2312"/>
                <w:b/>
                <w:bCs/>
                <w:sz w:val="28"/>
                <w:szCs w:val="28"/>
              </w:rPr>
            </w:pPr>
            <w:r>
              <w:rPr>
                <w:rFonts w:hint="eastAsia" w:ascii="仿宋_GB2312" w:eastAsia="仿宋_GB2312"/>
                <w:b/>
                <w:bCs/>
                <w:sz w:val="28"/>
                <w:szCs w:val="28"/>
              </w:rPr>
              <w:t>姓名</w:t>
            </w:r>
          </w:p>
        </w:tc>
        <w:tc>
          <w:tcPr>
            <w:tcW w:w="1644" w:type="dxa"/>
            <w:vAlign w:val="top"/>
          </w:tcPr>
          <w:p>
            <w:pPr>
              <w:jc w:val="center"/>
              <w:rPr>
                <w:rFonts w:hint="eastAsia" w:ascii="仿宋_GB2312" w:eastAsia="仿宋_GB2312"/>
                <w:b/>
                <w:bCs/>
                <w:sz w:val="28"/>
                <w:szCs w:val="28"/>
              </w:rPr>
            </w:pPr>
          </w:p>
        </w:tc>
        <w:tc>
          <w:tcPr>
            <w:tcW w:w="1645" w:type="dxa"/>
            <w:vAlign w:val="top"/>
          </w:tcPr>
          <w:p>
            <w:pPr>
              <w:jc w:val="center"/>
              <w:rPr>
                <w:rFonts w:hint="eastAsia" w:ascii="仿宋_GB2312" w:eastAsia="仿宋_GB2312"/>
                <w:b/>
                <w:bCs/>
                <w:sz w:val="28"/>
                <w:szCs w:val="28"/>
              </w:rPr>
            </w:pPr>
            <w:r>
              <w:rPr>
                <w:rFonts w:hint="eastAsia" w:ascii="仿宋_GB2312" w:eastAsia="仿宋_GB2312"/>
                <w:b/>
                <w:bCs/>
                <w:sz w:val="28"/>
                <w:szCs w:val="28"/>
              </w:rPr>
              <w:t>性别</w:t>
            </w:r>
          </w:p>
        </w:tc>
        <w:tc>
          <w:tcPr>
            <w:tcW w:w="1645" w:type="dxa"/>
            <w:vAlign w:val="top"/>
          </w:tcPr>
          <w:p>
            <w:pPr>
              <w:jc w:val="center"/>
              <w:rPr>
                <w:rFonts w:hint="eastAsia" w:ascii="仿宋_GB2312" w:eastAsia="仿宋_GB2312"/>
                <w:b/>
                <w:bCs/>
                <w:sz w:val="28"/>
                <w:szCs w:val="28"/>
              </w:rPr>
            </w:pPr>
          </w:p>
        </w:tc>
        <w:tc>
          <w:tcPr>
            <w:tcW w:w="1637" w:type="dxa"/>
            <w:vAlign w:val="top"/>
          </w:tcPr>
          <w:p>
            <w:pPr>
              <w:jc w:val="center"/>
              <w:rPr>
                <w:rFonts w:hint="eastAsia" w:ascii="仿宋_GB2312" w:eastAsia="仿宋_GB2312"/>
                <w:b/>
                <w:bCs/>
                <w:sz w:val="28"/>
                <w:szCs w:val="28"/>
              </w:rPr>
            </w:pPr>
            <w:r>
              <w:rPr>
                <w:rFonts w:hint="eastAsia" w:ascii="仿宋_GB2312" w:eastAsia="仿宋_GB2312"/>
                <w:b/>
                <w:bCs/>
                <w:sz w:val="28"/>
                <w:szCs w:val="28"/>
              </w:rPr>
              <w:t>联系方式</w:t>
            </w:r>
          </w:p>
        </w:tc>
        <w:tc>
          <w:tcPr>
            <w:tcW w:w="1620" w:type="dxa"/>
            <w:vAlign w:val="top"/>
          </w:tcPr>
          <w:p>
            <w:pPr>
              <w:jc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44" w:type="dxa"/>
            <w:vAlign w:val="top"/>
          </w:tcPr>
          <w:p>
            <w:pPr>
              <w:jc w:val="center"/>
              <w:rPr>
                <w:rFonts w:hint="eastAsia" w:ascii="仿宋_GB2312" w:eastAsia="仿宋_GB2312"/>
                <w:sz w:val="28"/>
                <w:szCs w:val="28"/>
              </w:rPr>
            </w:pPr>
            <w:r>
              <w:rPr>
                <w:rFonts w:hint="eastAsia" w:ascii="仿宋_GB2312" w:eastAsia="仿宋_GB2312"/>
                <w:b/>
                <w:bCs/>
                <w:sz w:val="28"/>
                <w:szCs w:val="28"/>
              </w:rPr>
              <w:t>年级</w:t>
            </w:r>
          </w:p>
        </w:tc>
        <w:tc>
          <w:tcPr>
            <w:tcW w:w="1644" w:type="dxa"/>
            <w:vAlign w:val="top"/>
          </w:tcPr>
          <w:p>
            <w:pPr>
              <w:jc w:val="center"/>
              <w:rPr>
                <w:rFonts w:hint="eastAsia" w:ascii="仿宋_GB2312" w:eastAsia="仿宋_GB2312"/>
                <w:sz w:val="28"/>
                <w:szCs w:val="28"/>
              </w:rPr>
            </w:pPr>
          </w:p>
        </w:tc>
        <w:tc>
          <w:tcPr>
            <w:tcW w:w="1645" w:type="dxa"/>
            <w:vAlign w:val="top"/>
          </w:tcPr>
          <w:p>
            <w:pPr>
              <w:jc w:val="center"/>
              <w:rPr>
                <w:rFonts w:hint="eastAsia" w:ascii="仿宋_GB2312" w:eastAsia="仿宋_GB2312"/>
                <w:b/>
                <w:bCs/>
                <w:sz w:val="28"/>
                <w:szCs w:val="28"/>
              </w:rPr>
            </w:pPr>
            <w:r>
              <w:rPr>
                <w:rFonts w:hint="eastAsia" w:ascii="仿宋_GB2312" w:eastAsia="仿宋_GB2312"/>
                <w:b/>
                <w:bCs/>
                <w:sz w:val="28"/>
                <w:szCs w:val="28"/>
              </w:rPr>
              <w:t>专业</w:t>
            </w:r>
          </w:p>
        </w:tc>
        <w:tc>
          <w:tcPr>
            <w:tcW w:w="1645" w:type="dxa"/>
            <w:vAlign w:val="top"/>
          </w:tcPr>
          <w:p>
            <w:pPr>
              <w:jc w:val="center"/>
              <w:rPr>
                <w:rFonts w:hint="eastAsia" w:ascii="仿宋_GB2312" w:eastAsia="仿宋_GB2312"/>
                <w:sz w:val="28"/>
                <w:szCs w:val="28"/>
              </w:rPr>
            </w:pPr>
          </w:p>
        </w:tc>
        <w:tc>
          <w:tcPr>
            <w:tcW w:w="1637" w:type="dxa"/>
            <w:vAlign w:val="top"/>
          </w:tcPr>
          <w:p>
            <w:pPr>
              <w:jc w:val="center"/>
              <w:rPr>
                <w:rFonts w:hint="eastAsia" w:ascii="仿宋_GB2312" w:eastAsia="仿宋_GB2312"/>
                <w:b/>
                <w:bCs/>
                <w:sz w:val="28"/>
                <w:szCs w:val="28"/>
              </w:rPr>
            </w:pPr>
            <w:r>
              <w:rPr>
                <w:rFonts w:hint="eastAsia" w:ascii="仿宋_GB2312" w:eastAsia="仿宋_GB2312"/>
                <w:b/>
                <w:bCs/>
                <w:sz w:val="28"/>
                <w:szCs w:val="28"/>
              </w:rPr>
              <w:t>导师</w:t>
            </w:r>
          </w:p>
        </w:tc>
        <w:tc>
          <w:tcPr>
            <w:tcW w:w="1620" w:type="dxa"/>
            <w:vAlign w:val="top"/>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1644"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留校事由</w:t>
            </w:r>
          </w:p>
        </w:tc>
        <w:tc>
          <w:tcPr>
            <w:tcW w:w="8191" w:type="dxa"/>
            <w:gridSpan w:val="5"/>
            <w:vAlign w:val="top"/>
          </w:tcPr>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both"/>
              <w:rPr>
                <w:rFonts w:hint="eastAsia" w:ascii="仿宋_GB2312" w:eastAsia="仿宋_GB2312"/>
                <w:sz w:val="28"/>
                <w:szCs w:val="28"/>
              </w:rPr>
            </w:pPr>
            <w:r>
              <w:rPr>
                <w:rFonts w:hint="eastAsia" w:ascii="仿宋_GB2312" w:eastAsia="仿宋_GB2312"/>
                <w:b/>
                <w:bCs/>
                <w:sz w:val="28"/>
                <w:szCs w:val="28"/>
              </w:rPr>
              <w:t xml:space="preserve">       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1644"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留校时间</w:t>
            </w:r>
          </w:p>
        </w:tc>
        <w:tc>
          <w:tcPr>
            <w:tcW w:w="8191" w:type="dxa"/>
            <w:gridSpan w:val="5"/>
            <w:vAlign w:val="top"/>
          </w:tcPr>
          <w:p>
            <w:pPr>
              <w:jc w:val="center"/>
              <w:rPr>
                <w:rFonts w:hint="eastAsia" w:ascii="仿宋_GB2312" w:eastAsia="仿宋_GB2312"/>
                <w:sz w:val="28"/>
                <w:szCs w:val="28"/>
              </w:rPr>
            </w:pPr>
          </w:p>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644"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留校期间详细住址</w:t>
            </w:r>
          </w:p>
        </w:tc>
        <w:tc>
          <w:tcPr>
            <w:tcW w:w="8191" w:type="dxa"/>
            <w:gridSpan w:val="5"/>
            <w:vAlign w:val="top"/>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1" w:hRule="atLeast"/>
        </w:trPr>
        <w:tc>
          <w:tcPr>
            <w:tcW w:w="1644" w:type="dxa"/>
            <w:vAlign w:val="center"/>
          </w:tcPr>
          <w:p>
            <w:pPr>
              <w:jc w:val="center"/>
              <w:rPr>
                <w:rFonts w:hint="eastAsia" w:ascii="仿宋_GB2312" w:eastAsia="仿宋_GB2312"/>
                <w:b/>
                <w:bCs/>
                <w:sz w:val="28"/>
                <w:szCs w:val="28"/>
              </w:rPr>
            </w:pPr>
            <w:r>
              <w:rPr>
                <w:rFonts w:hint="eastAsia" w:ascii="仿宋_GB2312" w:eastAsia="仿宋_GB2312"/>
                <w:b/>
                <w:bCs/>
                <w:sz w:val="28"/>
                <w:szCs w:val="28"/>
              </w:rPr>
              <w:t>导师意见</w:t>
            </w:r>
          </w:p>
        </w:tc>
        <w:tc>
          <w:tcPr>
            <w:tcW w:w="8191" w:type="dxa"/>
            <w:gridSpan w:val="5"/>
            <w:vAlign w:val="top"/>
          </w:tcPr>
          <w:p>
            <w:pPr>
              <w:jc w:val="center"/>
              <w:rPr>
                <w:rFonts w:hint="eastAsia" w:ascii="仿宋_GB2312" w:eastAsia="仿宋_GB2312"/>
                <w:b/>
                <w:bCs/>
                <w:sz w:val="28"/>
                <w:szCs w:val="28"/>
              </w:rPr>
            </w:pPr>
          </w:p>
          <w:p>
            <w:pPr>
              <w:jc w:val="center"/>
              <w:rPr>
                <w:rFonts w:hint="eastAsia" w:ascii="仿宋_GB2312" w:eastAsia="仿宋_GB2312"/>
                <w:b/>
                <w:bCs/>
                <w:sz w:val="28"/>
                <w:szCs w:val="28"/>
              </w:rPr>
            </w:pPr>
          </w:p>
          <w:p>
            <w:pPr>
              <w:jc w:val="center"/>
              <w:rPr>
                <w:rFonts w:hint="eastAsia" w:ascii="仿宋_GB2312" w:eastAsia="仿宋_GB2312"/>
                <w:sz w:val="28"/>
                <w:szCs w:val="28"/>
              </w:rPr>
            </w:pPr>
            <w:r>
              <w:rPr>
                <w:rFonts w:hint="eastAsia" w:ascii="仿宋_GB2312" w:eastAsia="仿宋_GB2312"/>
                <w:b/>
                <w:bCs/>
                <w:sz w:val="28"/>
                <w:szCs w:val="28"/>
              </w:rPr>
              <w:t xml:space="preserve">      导师签字：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644" w:type="dxa"/>
            <w:vAlign w:val="center"/>
          </w:tcPr>
          <w:p>
            <w:pPr>
              <w:jc w:val="center"/>
              <w:rPr>
                <w:rFonts w:hint="eastAsia" w:ascii="仿宋_GB2312" w:eastAsia="仿宋_GB2312"/>
                <w:b/>
                <w:bCs/>
                <w:sz w:val="28"/>
                <w:szCs w:val="28"/>
              </w:rPr>
            </w:pPr>
            <w:r>
              <w:rPr>
                <w:rFonts w:hint="eastAsia" w:ascii="宋体" w:cs="宋体"/>
                <w:b/>
                <w:bCs/>
                <w:sz w:val="28"/>
                <w:szCs w:val="28"/>
                <w:lang w:bidi="ar-SA"/>
              </w:rPr>
              <w:t>分管院领导</w:t>
            </w:r>
            <w:r>
              <w:rPr>
                <w:rFonts w:hint="eastAsia" w:ascii="仿宋_GB2312" w:eastAsia="仿宋_GB2312"/>
                <w:b/>
                <w:bCs/>
                <w:sz w:val="28"/>
                <w:szCs w:val="28"/>
              </w:rPr>
              <w:t>意见</w:t>
            </w:r>
          </w:p>
        </w:tc>
        <w:tc>
          <w:tcPr>
            <w:tcW w:w="8191" w:type="dxa"/>
            <w:gridSpan w:val="5"/>
            <w:vAlign w:val="top"/>
          </w:tcPr>
          <w:p>
            <w:pPr>
              <w:jc w:val="cente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b/>
                <w:bCs/>
                <w:sz w:val="28"/>
                <w:szCs w:val="28"/>
              </w:rPr>
              <w:t xml:space="preserve">           签字：                  年    月   日</w:t>
            </w:r>
          </w:p>
        </w:tc>
      </w:tr>
    </w:tbl>
    <w:p>
      <w:pPr>
        <w:rPr>
          <w:rFonts w:hint="eastAsia" w:ascii="仿宋_GB2312" w:eastAsia="仿宋_GB2312"/>
          <w:sz w:val="28"/>
          <w:szCs w:val="28"/>
        </w:rPr>
      </w:pPr>
    </w:p>
    <w:p>
      <w:pPr>
        <w:jc w:val="center"/>
        <w:rPr>
          <w:rFonts w:hint="eastAsia" w:ascii="宋体" w:cs="宋体"/>
          <w:b/>
          <w:bCs/>
          <w:sz w:val="32"/>
          <w:szCs w:val="32"/>
          <w:lang w:bidi="ar-SA"/>
        </w:rPr>
      </w:pPr>
      <w:r>
        <w:rPr>
          <w:rFonts w:hint="eastAsia" w:ascii="宋体" w:cs="宋体"/>
          <w:b/>
          <w:bCs/>
          <w:sz w:val="32"/>
          <w:szCs w:val="32"/>
          <w:lang w:eastAsia="zh-CN" w:bidi="ar-SA"/>
        </w:rPr>
        <w:t>附件三：</w:t>
      </w:r>
      <w:r>
        <w:rPr>
          <w:rFonts w:hint="eastAsia" w:ascii="宋体" w:cs="宋体"/>
          <w:b/>
          <w:bCs/>
          <w:sz w:val="32"/>
          <w:szCs w:val="32"/>
          <w:lang w:bidi="ar-SA"/>
        </w:rPr>
        <w:t>基础医学院201</w:t>
      </w:r>
      <w:r>
        <w:rPr>
          <w:rFonts w:hint="eastAsia" w:ascii="宋体" w:cs="宋体"/>
          <w:b/>
          <w:bCs/>
          <w:sz w:val="32"/>
          <w:szCs w:val="32"/>
          <w:lang w:val="en-US" w:eastAsia="zh-CN" w:bidi="ar-SA"/>
        </w:rPr>
        <w:t>8</w:t>
      </w:r>
      <w:r>
        <w:rPr>
          <w:rFonts w:hint="eastAsia" w:ascii="宋体" w:cs="宋体"/>
          <w:b/>
          <w:bCs/>
          <w:sz w:val="32"/>
          <w:szCs w:val="32"/>
          <w:lang w:bidi="ar-SA"/>
        </w:rPr>
        <w:t>年</w:t>
      </w:r>
      <w:r>
        <w:rPr>
          <w:rFonts w:hint="eastAsia" w:ascii="宋体" w:cs="宋体"/>
          <w:b/>
          <w:bCs/>
          <w:sz w:val="32"/>
          <w:szCs w:val="32"/>
          <w:lang w:eastAsia="zh-CN" w:bidi="ar-SA"/>
        </w:rPr>
        <w:t>暑假</w:t>
      </w:r>
      <w:r>
        <w:rPr>
          <w:rFonts w:hint="eastAsia" w:ascii="宋体" w:cs="宋体"/>
          <w:b/>
          <w:bCs/>
          <w:sz w:val="32"/>
          <w:szCs w:val="32"/>
          <w:lang w:bidi="ar-SA"/>
        </w:rPr>
        <w:t>期间二线值班安排表</w:t>
      </w:r>
    </w:p>
    <w:p/>
    <w:p>
      <w:pPr>
        <w:rPr>
          <w:rFonts w:hint="eastAsia" w:ascii="宋体" w:cs="宋体"/>
          <w:sz w:val="28"/>
          <w:szCs w:val="28"/>
          <w:lang w:bidi="ar-SA"/>
        </w:rPr>
      </w:pPr>
      <w:r>
        <w:rPr>
          <w:rFonts w:hint="eastAsia" w:ascii="宋体" w:cs="宋体"/>
          <w:sz w:val="28"/>
          <w:szCs w:val="28"/>
          <w:lang w:bidi="ar-SA"/>
        </w:rPr>
        <w:t xml:space="preserve">    根据学校《关于201</w:t>
      </w:r>
      <w:r>
        <w:rPr>
          <w:rFonts w:hint="eastAsia" w:ascii="宋体" w:cs="宋体"/>
          <w:sz w:val="28"/>
          <w:szCs w:val="28"/>
          <w:lang w:val="en-US" w:eastAsia="zh-CN" w:bidi="ar-SA"/>
        </w:rPr>
        <w:t>8</w:t>
      </w:r>
      <w:r>
        <w:rPr>
          <w:rFonts w:hint="eastAsia" w:ascii="宋体" w:cs="宋体"/>
          <w:sz w:val="28"/>
          <w:szCs w:val="28"/>
          <w:lang w:bidi="ar-SA"/>
        </w:rPr>
        <w:t>年</w:t>
      </w:r>
      <w:r>
        <w:rPr>
          <w:rFonts w:hint="eastAsia" w:ascii="宋体" w:cs="宋体"/>
          <w:sz w:val="28"/>
          <w:szCs w:val="28"/>
          <w:lang w:eastAsia="zh-CN" w:bidi="ar-SA"/>
        </w:rPr>
        <w:t>暑</w:t>
      </w:r>
      <w:r>
        <w:rPr>
          <w:rFonts w:hint="eastAsia" w:ascii="宋体" w:cs="宋体"/>
          <w:sz w:val="28"/>
          <w:szCs w:val="28"/>
          <w:lang w:bidi="ar-SA"/>
        </w:rPr>
        <w:t>假值班安排的通知》，基础医学院二线值班安排如下：</w:t>
      </w:r>
    </w:p>
    <w:p/>
    <w:tbl>
      <w:tblPr>
        <w:tblStyle w:val="3"/>
        <w:tblW w:w="5500"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58"/>
        <w:gridCol w:w="274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jc w:val="center"/>
        </w:trPr>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sz w:val="28"/>
                <w:szCs w:val="28"/>
                <w:lang w:bidi="ar-SA"/>
              </w:rPr>
            </w:pPr>
            <w:r>
              <w:rPr>
                <w:rFonts w:hint="eastAsia" w:ascii="宋体" w:cs="宋体"/>
                <w:b/>
                <w:color w:val="000000"/>
                <w:kern w:val="0"/>
                <w:sz w:val="28"/>
                <w:szCs w:val="28"/>
                <w:lang w:bidi="ar-SA"/>
              </w:rPr>
              <w:t>值班时间</w:t>
            </w:r>
          </w:p>
        </w:tc>
        <w:tc>
          <w:tcPr>
            <w:tcW w:w="2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b/>
                <w:color w:val="000000"/>
                <w:sz w:val="28"/>
                <w:szCs w:val="28"/>
                <w:lang w:bidi="ar-SA"/>
              </w:rPr>
            </w:pPr>
            <w:r>
              <w:rPr>
                <w:rFonts w:hint="eastAsia" w:ascii="宋体" w:cs="宋体"/>
                <w:b/>
                <w:color w:val="000000"/>
                <w:kern w:val="0"/>
                <w:sz w:val="28"/>
                <w:szCs w:val="28"/>
                <w:lang w:bidi="ar-SA"/>
              </w:rPr>
              <w:t>值班人员</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jc w:val="center"/>
        </w:trPr>
        <w:tc>
          <w:tcPr>
            <w:tcW w:w="2758"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28"/>
                <w:szCs w:val="28"/>
                <w:lang w:val="en-US" w:eastAsia="zh-CN" w:bidi="ar-SA"/>
              </w:rPr>
            </w:pPr>
            <w:r>
              <w:rPr>
                <w:rFonts w:hint="eastAsia" w:ascii="宋体" w:cs="宋体"/>
                <w:color w:val="000000"/>
                <w:kern w:val="0"/>
                <w:sz w:val="28"/>
                <w:szCs w:val="28"/>
                <w:lang w:val="en-US" w:eastAsia="zh-CN" w:bidi="ar-SA"/>
              </w:rPr>
              <w:t>21</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7</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30</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7</w:t>
            </w:r>
          </w:p>
        </w:tc>
        <w:tc>
          <w:tcPr>
            <w:tcW w:w="2742"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28"/>
                <w:szCs w:val="28"/>
                <w:lang w:val="en-US" w:eastAsia="zh-CN" w:bidi="ar-SA"/>
              </w:rPr>
            </w:pPr>
            <w:r>
              <w:rPr>
                <w:rFonts w:hint="eastAsia" w:ascii="宋体" w:cs="宋体"/>
                <w:color w:val="000000"/>
                <w:sz w:val="28"/>
                <w:szCs w:val="28"/>
                <w:lang w:val="en-US" w:eastAsia="zh-CN" w:bidi="ar-SA"/>
              </w:rPr>
              <w:t>冯全生</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jc w:val="center"/>
        </w:trPr>
        <w:tc>
          <w:tcPr>
            <w:tcW w:w="2758"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28"/>
                <w:szCs w:val="28"/>
                <w:lang w:val="en-US" w:eastAsia="zh-CN" w:bidi="ar-SA"/>
              </w:rPr>
            </w:pPr>
            <w:r>
              <w:rPr>
                <w:rFonts w:hint="eastAsia" w:ascii="宋体" w:cs="宋体"/>
                <w:color w:val="000000"/>
                <w:kern w:val="0"/>
                <w:sz w:val="28"/>
                <w:szCs w:val="28"/>
                <w:lang w:val="en-US" w:eastAsia="zh-CN" w:bidi="ar-SA"/>
              </w:rPr>
              <w:t>31</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7</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9</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8</w:t>
            </w:r>
          </w:p>
        </w:tc>
        <w:tc>
          <w:tcPr>
            <w:tcW w:w="2742" w:type="dxa"/>
            <w:tcBorders>
              <w:left w:val="single" w:color="000000" w:sz="4" w:space="0"/>
              <w:bottom w:val="single" w:color="000000" w:sz="4" w:space="0"/>
              <w:right w:val="single" w:color="000000" w:sz="4" w:space="0"/>
            </w:tcBorders>
            <w:vAlign w:val="center"/>
          </w:tcPr>
          <w:p>
            <w:pPr>
              <w:widowControl/>
              <w:jc w:val="both"/>
              <w:textAlignment w:val="center"/>
              <w:rPr>
                <w:rFonts w:hint="eastAsia" w:ascii="宋体" w:eastAsia="宋体" w:cs="宋体"/>
                <w:color w:val="000000"/>
                <w:sz w:val="28"/>
                <w:szCs w:val="28"/>
                <w:lang w:val="en-US" w:eastAsia="zh-CN" w:bidi="ar-SA"/>
              </w:rPr>
            </w:pPr>
            <w:r>
              <w:rPr>
                <w:rFonts w:hint="eastAsia" w:ascii="宋体" w:cs="宋体"/>
                <w:color w:val="000000"/>
                <w:sz w:val="28"/>
                <w:szCs w:val="28"/>
                <w:lang w:val="en-US" w:eastAsia="zh-CN" w:bidi="ar-SA"/>
              </w:rPr>
              <w:t xml:space="preserve">       文跃强</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jc w:val="center"/>
        </w:trPr>
        <w:tc>
          <w:tcPr>
            <w:tcW w:w="2758" w:type="dxa"/>
            <w:tcBorders>
              <w:left w:val="single" w:color="000000" w:sz="4" w:space="0"/>
              <w:right w:val="single" w:color="000000" w:sz="4" w:space="0"/>
            </w:tcBorders>
            <w:vAlign w:val="center"/>
          </w:tcPr>
          <w:p>
            <w:pPr>
              <w:widowControl/>
              <w:jc w:val="center"/>
              <w:textAlignment w:val="center"/>
              <w:rPr>
                <w:rFonts w:hint="eastAsia" w:ascii="宋体" w:eastAsia="宋体" w:cs="宋体"/>
                <w:color w:val="000000"/>
                <w:sz w:val="28"/>
                <w:szCs w:val="28"/>
                <w:lang w:val="en-US" w:eastAsia="zh-CN" w:bidi="ar-SA"/>
              </w:rPr>
            </w:pPr>
            <w:bookmarkStart w:id="0" w:name="OLE_LINK1"/>
            <w:r>
              <w:rPr>
                <w:rFonts w:hint="eastAsia" w:ascii="宋体" w:cs="宋体"/>
                <w:color w:val="000000"/>
                <w:kern w:val="0"/>
                <w:sz w:val="28"/>
                <w:szCs w:val="28"/>
                <w:lang w:bidi="ar-SA"/>
              </w:rPr>
              <w:t>1</w:t>
            </w:r>
            <w:r>
              <w:rPr>
                <w:rFonts w:hint="eastAsia" w:ascii="宋体" w:cs="宋体"/>
                <w:color w:val="000000"/>
                <w:kern w:val="0"/>
                <w:sz w:val="28"/>
                <w:szCs w:val="28"/>
                <w:lang w:val="en-US" w:eastAsia="zh-CN" w:bidi="ar-SA"/>
              </w:rPr>
              <w:t>0</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8</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19</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8</w:t>
            </w:r>
            <w:bookmarkEnd w:id="0"/>
          </w:p>
        </w:tc>
        <w:tc>
          <w:tcPr>
            <w:tcW w:w="2742" w:type="dxa"/>
            <w:tcBorders>
              <w:left w:val="single" w:color="000000" w:sz="4" w:space="0"/>
              <w:right w:val="single" w:color="000000" w:sz="4" w:space="0"/>
            </w:tcBorders>
            <w:vAlign w:val="center"/>
          </w:tcPr>
          <w:p>
            <w:pPr>
              <w:widowControl/>
              <w:jc w:val="center"/>
              <w:textAlignment w:val="center"/>
              <w:rPr>
                <w:rFonts w:hint="eastAsia" w:ascii="宋体" w:eastAsia="宋体" w:cs="宋体"/>
                <w:color w:val="000000"/>
                <w:sz w:val="28"/>
                <w:szCs w:val="28"/>
                <w:lang w:eastAsia="zh-CN" w:bidi="ar-SA"/>
              </w:rPr>
            </w:pPr>
            <w:r>
              <w:rPr>
                <w:rFonts w:hint="eastAsia" w:ascii="宋体" w:cs="宋体"/>
                <w:color w:val="000000"/>
                <w:sz w:val="28"/>
                <w:szCs w:val="28"/>
                <w:lang w:eastAsia="zh-CN" w:bidi="ar-SA"/>
              </w:rPr>
              <w:t>周仕轶</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jc w:val="center"/>
        </w:trPr>
        <w:tc>
          <w:tcPr>
            <w:tcW w:w="2758" w:type="dxa"/>
            <w:tcBorders>
              <w:left w:val="single" w:color="000000" w:sz="4" w:space="0"/>
              <w:right w:val="single" w:color="000000" w:sz="4" w:space="0"/>
            </w:tcBorders>
            <w:vAlign w:val="center"/>
          </w:tcPr>
          <w:p>
            <w:pPr>
              <w:widowControl/>
              <w:jc w:val="center"/>
              <w:textAlignment w:val="center"/>
              <w:rPr>
                <w:rFonts w:hint="eastAsia" w:ascii="宋体" w:cs="宋体"/>
                <w:color w:val="000000"/>
                <w:kern w:val="0"/>
                <w:sz w:val="28"/>
                <w:szCs w:val="28"/>
                <w:lang w:bidi="ar-SA"/>
              </w:rPr>
            </w:pPr>
            <w:r>
              <w:rPr>
                <w:rFonts w:hint="eastAsia" w:ascii="宋体" w:cs="宋体"/>
                <w:color w:val="000000"/>
                <w:kern w:val="0"/>
                <w:sz w:val="28"/>
                <w:szCs w:val="28"/>
                <w:lang w:val="en-US" w:eastAsia="zh-CN" w:bidi="ar-SA"/>
              </w:rPr>
              <w:t>20</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8</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29</w:t>
            </w:r>
            <w:r>
              <w:rPr>
                <w:rFonts w:hint="eastAsia" w:ascii="宋体" w:cs="宋体"/>
                <w:color w:val="000000"/>
                <w:kern w:val="0"/>
                <w:sz w:val="28"/>
                <w:szCs w:val="28"/>
                <w:lang w:bidi="ar-SA"/>
              </w:rPr>
              <w:t>/</w:t>
            </w:r>
            <w:r>
              <w:rPr>
                <w:rFonts w:hint="eastAsia" w:ascii="宋体" w:cs="宋体"/>
                <w:color w:val="000000"/>
                <w:kern w:val="0"/>
                <w:sz w:val="28"/>
                <w:szCs w:val="28"/>
                <w:lang w:val="en-US" w:eastAsia="zh-CN" w:bidi="ar-SA"/>
              </w:rPr>
              <w:t>8</w:t>
            </w:r>
          </w:p>
        </w:tc>
        <w:tc>
          <w:tcPr>
            <w:tcW w:w="2742" w:type="dxa"/>
            <w:tcBorders>
              <w:left w:val="single" w:color="000000" w:sz="4" w:space="0"/>
              <w:right w:val="single" w:color="000000" w:sz="4" w:space="0"/>
            </w:tcBorders>
            <w:vAlign w:val="center"/>
          </w:tcPr>
          <w:p>
            <w:pPr>
              <w:widowControl/>
              <w:jc w:val="center"/>
              <w:textAlignment w:val="center"/>
              <w:rPr>
                <w:rFonts w:hint="eastAsia" w:ascii="宋体" w:cs="宋体"/>
                <w:color w:val="000000"/>
                <w:kern w:val="0"/>
                <w:sz w:val="28"/>
                <w:szCs w:val="28"/>
                <w:lang w:eastAsia="zh-CN" w:bidi="ar-SA"/>
              </w:rPr>
            </w:pPr>
            <w:r>
              <w:rPr>
                <w:rFonts w:hint="eastAsia" w:ascii="宋体" w:cs="宋体"/>
                <w:color w:val="000000"/>
                <w:kern w:val="0"/>
                <w:sz w:val="28"/>
                <w:szCs w:val="28"/>
                <w:lang w:eastAsia="zh-CN" w:bidi="ar-SA"/>
              </w:rPr>
              <w:t>谭生奎</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jc w:val="center"/>
        </w:trPr>
        <w:tc>
          <w:tcPr>
            <w:tcW w:w="2758"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 w:val="28"/>
                <w:szCs w:val="28"/>
                <w:lang w:bidi="ar-SA"/>
              </w:rPr>
            </w:pPr>
          </w:p>
        </w:tc>
        <w:tc>
          <w:tcPr>
            <w:tcW w:w="2742"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kern w:val="0"/>
                <w:sz w:val="28"/>
                <w:szCs w:val="28"/>
                <w:lang w:eastAsia="zh-CN" w:bidi="ar-SA"/>
              </w:rPr>
            </w:pPr>
          </w:p>
        </w:tc>
      </w:tr>
    </w:tbl>
    <w:p>
      <w:pPr>
        <w:keepNext w:val="0"/>
        <w:keepLines w:val="0"/>
        <w:widowControl/>
        <w:suppressLineNumbers w:val="0"/>
        <w:shd w:val="clear" w:fill="FFFFFF"/>
        <w:spacing w:before="0" w:beforeAutospacing="0" w:after="0" w:afterAutospacing="0" w:line="270" w:lineRule="atLeast"/>
        <w:ind w:right="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keepNext w:val="0"/>
        <w:keepLines w:val="0"/>
        <w:widowControl/>
        <w:suppressLineNumbers w:val="0"/>
        <w:shd w:val="clear" w:fill="FFFFFF"/>
        <w:spacing w:before="0" w:beforeAutospacing="0" w:after="0" w:afterAutospacing="0" w:line="270" w:lineRule="atLeast"/>
        <w:ind w:right="0"/>
        <w:jc w:val="both"/>
        <w:rPr>
          <w:rFonts w:hint="eastAsia" w:ascii="仿宋" w:hAnsi="仿宋" w:eastAsia="仿宋" w:cs="仿宋"/>
          <w:b w:val="0"/>
          <w:i w:val="0"/>
          <w:caps w:val="0"/>
          <w:color w:val="000000"/>
          <w:spacing w:val="0"/>
          <w:kern w:val="0"/>
          <w:sz w:val="32"/>
          <w:szCs w:val="32"/>
          <w:u w:val="none"/>
          <w:shd w:val="clear" w:fill="FFFFFF"/>
          <w:lang w:val="en-US" w:eastAsia="zh-CN" w:bidi="ar"/>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13D2B"/>
    <w:rsid w:val="47A43DE2"/>
    <w:rsid w:val="55B904A5"/>
    <w:rsid w:val="60513D2B"/>
    <w:rsid w:val="6D535020"/>
    <w:rsid w:val="7F66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46</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2018-07-20T05:11:00Z</dcterms:created>
  <dc:creator>龍～～</dc:creator>
  <cp:lastModifiedBy>龍～～</cp:lastModifiedBy>
  <dcterms:modified xsi:type="dcterms:W3CDTF">2018-07-20T06:39:47Z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